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B60C9" w14:textId="77777777" w:rsidR="00C54024" w:rsidRDefault="00C54024">
      <w:pPr>
        <w:spacing w:after="0" w:line="240" w:lineRule="auto"/>
        <w:rPr>
          <w:rFonts w:ascii="宋体" w:eastAsia="宋体" w:hint="eastAsia"/>
          <w:sz w:val="32"/>
          <w:szCs w:val="32"/>
        </w:rPr>
      </w:pPr>
    </w:p>
    <w:p w14:paraId="648CBB7C" w14:textId="77777777" w:rsidR="00C54024" w:rsidRDefault="00C54024">
      <w:pPr>
        <w:spacing w:after="0" w:line="240" w:lineRule="auto"/>
        <w:rPr>
          <w:rFonts w:ascii="宋体" w:eastAsia="宋体" w:hint="eastAsia"/>
          <w:sz w:val="44"/>
          <w:szCs w:val="44"/>
        </w:rPr>
      </w:pPr>
    </w:p>
    <w:p w14:paraId="06017FCB" w14:textId="77777777" w:rsidR="00C54024" w:rsidRDefault="00C54024">
      <w:pPr>
        <w:spacing w:after="0" w:line="240" w:lineRule="auto"/>
        <w:rPr>
          <w:rFonts w:ascii="宋体" w:eastAsia="宋体" w:hint="eastAsia"/>
          <w:sz w:val="44"/>
          <w:szCs w:val="44"/>
        </w:rPr>
      </w:pPr>
    </w:p>
    <w:p w14:paraId="02905495" w14:textId="77777777" w:rsidR="00C54024" w:rsidRDefault="00C54024">
      <w:pPr>
        <w:spacing w:after="0" w:line="240" w:lineRule="auto"/>
        <w:rPr>
          <w:rFonts w:ascii="宋体" w:eastAsia="宋体" w:hint="eastAsia"/>
          <w:sz w:val="44"/>
          <w:szCs w:val="44"/>
        </w:rPr>
      </w:pPr>
    </w:p>
    <w:p w14:paraId="760996B1" w14:textId="77777777" w:rsidR="00C5402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木垒哈萨克自治县新户镇中心学校</w:t>
      </w:r>
    </w:p>
    <w:p w14:paraId="68E6F7D7" w14:textId="77777777" w:rsidR="00C5402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FBEE777" w14:textId="77777777" w:rsidR="00C54024" w:rsidRDefault="00000000">
      <w:pPr>
        <w:rPr>
          <w:rFonts w:hint="eastAsia"/>
          <w:lang w:eastAsia="zh-CN"/>
        </w:rPr>
      </w:pPr>
      <w:r>
        <w:rPr>
          <w:sz w:val="0"/>
          <w:szCs w:val="0"/>
          <w:lang w:eastAsia="zh-CN"/>
        </w:rPr>
        <w:br w:type="page"/>
      </w:r>
    </w:p>
    <w:p w14:paraId="59C2C3CE" w14:textId="77777777" w:rsidR="00C5402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FDE8E2E"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801341B"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138CEE5"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B65EDED"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065628F"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C82CA09"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08D9D0E"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3CED722"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1202445"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91C461C"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CBA47E3"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1648D48"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98CD75F"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B2F5E02"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3364E5D"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569253E"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DC6A51A"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8B8874D"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A2B58EE"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BFF98FF"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79D5643"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A032A45"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679826A"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E8D0555"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3126C23"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4CB67E2"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A5D3BE5"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5CF7E29"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427A6B1"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03285D5"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D44F254"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91151F7"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882439A" w14:textId="77777777" w:rsidR="00C540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86840BC" w14:textId="77777777" w:rsidR="00C54024" w:rsidRDefault="00000000">
      <w:pPr>
        <w:rPr>
          <w:rFonts w:hint="eastAsia"/>
          <w:lang w:eastAsia="zh-CN"/>
        </w:rPr>
      </w:pPr>
      <w:r>
        <w:rPr>
          <w:sz w:val="0"/>
          <w:szCs w:val="0"/>
          <w:lang w:eastAsia="zh-CN"/>
        </w:rPr>
        <w:br w:type="page"/>
      </w:r>
    </w:p>
    <w:p w14:paraId="52886BAD" w14:textId="77777777" w:rsidR="00C540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6979D98"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185B094"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学前教育的主要职能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50D3E7DE"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小学教育的主要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6C732223"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7F18789"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木垒哈萨克自治县新户镇中心学校2024年度，实有人数143人，其中：在职人员62人，增加12人；离休人员0人，较上年无变化；退休人员81人，减少1人。</w:t>
      </w:r>
    </w:p>
    <w:p w14:paraId="27E95F20"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木垒哈萨克自治县新户镇中心学校无下属预算单位，下设4个</w:t>
      </w:r>
      <w:r>
        <w:rPr>
          <w:rFonts w:ascii="仿宋_GB2312" w:eastAsia="仿宋_GB2312" w:hint="eastAsia"/>
          <w:sz w:val="32"/>
          <w:szCs w:val="32"/>
          <w:lang w:eastAsia="zh-CN"/>
        </w:rPr>
        <w:t>科室</w:t>
      </w:r>
      <w:r>
        <w:rPr>
          <w:rFonts w:ascii="仿宋_GB2312" w:eastAsia="仿宋_GB2312"/>
          <w:sz w:val="32"/>
          <w:szCs w:val="32"/>
          <w:lang w:eastAsia="zh-CN"/>
        </w:rPr>
        <w:t>，分别是：教务室、总务室、财务室、德育室。</w:t>
      </w:r>
    </w:p>
    <w:p w14:paraId="3EF3059F" w14:textId="77777777" w:rsidR="00C54024" w:rsidRDefault="00000000">
      <w:pPr>
        <w:rPr>
          <w:rFonts w:hint="eastAsia"/>
          <w:lang w:eastAsia="zh-CN"/>
        </w:rPr>
      </w:pPr>
      <w:r>
        <w:rPr>
          <w:sz w:val="0"/>
          <w:szCs w:val="0"/>
          <w:lang w:eastAsia="zh-CN"/>
        </w:rPr>
        <w:br w:type="page"/>
      </w:r>
    </w:p>
    <w:p w14:paraId="0C2B8B0B" w14:textId="77777777" w:rsidR="00C540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D81D625"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9014FA3"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2024年度收入总计1,675.11万元，其中：本年收入合计1,655.51万元，使用非财政拨款结余（含专用结余）0.00万元，年初结转和结余19.60万元。</w:t>
      </w:r>
    </w:p>
    <w:p w14:paraId="42590658"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2024年度支出总计1,675.11万元，其中：本年支出合计1,652.20万元，结余分配0.00万元，年末结转和结余22.92万元。</w:t>
      </w:r>
    </w:p>
    <w:p w14:paraId="6C55279F" w14:textId="3C06EAF4"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收入支出总体与上年相比，增加357.64万元，增长27.15%，主要原因是：</w:t>
      </w:r>
      <w:bookmarkStart w:id="0" w:name="OLE_LINK1"/>
      <w:r>
        <w:rPr>
          <w:rFonts w:ascii="仿宋_GB2312" w:eastAsia="仿宋_GB2312" w:hint="eastAsia"/>
          <w:sz w:val="32"/>
          <w:szCs w:val="32"/>
          <w:lang w:eastAsia="zh-CN"/>
        </w:rPr>
        <w:t>本年在职人员增加，基本工资、津补贴、奖金等人员经费较上年增加；本年增加</w:t>
      </w:r>
      <w:bookmarkEnd w:id="0"/>
      <w:r>
        <w:rPr>
          <w:rFonts w:ascii="仿宋_GB2312" w:eastAsia="仿宋_GB2312" w:hint="eastAsia"/>
          <w:sz w:val="32"/>
          <w:szCs w:val="32"/>
          <w:lang w:eastAsia="zh-CN"/>
        </w:rPr>
        <w:t>城乡义务教育保障机制经费、昌吉州教育项目州本级配套资金等项目经费。</w:t>
      </w:r>
    </w:p>
    <w:p w14:paraId="19DDEDCF"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1F8D92A"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本年收入1,655.51万元，其中：财政拨款收入1,557.96万元,占94.11%；上级补助收入0.00万元,占0.00%；事业收入0.00万元，占0.00%；经营收入0.00万元,占0.00%；附属单位上缴收入0.00万元，占0.00%；其他收入97.55万元，占5.89%。</w:t>
      </w:r>
    </w:p>
    <w:p w14:paraId="72B01E96"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99243EB"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本年支出1,652.20万元，其中：基本支出1,362.53万元，占82.47%；项目支出289.67万元，占17.53%；上缴上级支出0.00万元，占0.00%；经营支出0.00万元，占0.00%；对附属单位补助支出0.00万元，占0.00%。</w:t>
      </w:r>
    </w:p>
    <w:p w14:paraId="2B449013"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057EC7E"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1,561.54万元，其中：年初财政拨款结转和结余3.58万元，本年财政拨款收入1,557.96万元。财政拨款支出总计1,561.54万元，其中：年末财政拨款结转和结余3.58万元，本年财政拨款支出1,557.96万元。</w:t>
      </w:r>
    </w:p>
    <w:p w14:paraId="48184B1B" w14:textId="707077A4"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财政拨款收入支出总体与上年相比，增加264.65万元，增长20.41%，主要原因是：</w:t>
      </w:r>
      <w:r>
        <w:rPr>
          <w:rFonts w:ascii="仿宋_GB2312" w:eastAsia="仿宋_GB2312" w:hint="eastAsia"/>
          <w:sz w:val="32"/>
          <w:szCs w:val="32"/>
          <w:lang w:eastAsia="zh-CN"/>
        </w:rPr>
        <w:t>本年在职人员增加，基本工资、津补贴、奖金等人员经费较上年增加；本年增加城乡义务教育</w:t>
      </w:r>
      <w:r>
        <w:rPr>
          <w:rFonts w:ascii="仿宋_GB2312" w:eastAsia="仿宋_GB2312" w:hint="eastAsia"/>
          <w:sz w:val="32"/>
          <w:szCs w:val="32"/>
          <w:lang w:eastAsia="zh-CN"/>
        </w:rPr>
        <w:lastRenderedPageBreak/>
        <w:t>保障机制经费、昌吉州教育项目州本级配套资金等项目经费</w:t>
      </w:r>
      <w:r>
        <w:rPr>
          <w:rFonts w:ascii="仿宋_GB2312" w:eastAsia="仿宋_GB2312"/>
          <w:sz w:val="32"/>
          <w:szCs w:val="32"/>
          <w:lang w:eastAsia="zh-CN"/>
        </w:rPr>
        <w:t>。与年初预算相比，年初预算数1,628.76万元，决算数1,561.54万元，预决算差异率-4.13%，主要原因是：</w:t>
      </w:r>
      <w:bookmarkStart w:id="1" w:name="OLE_LINK2"/>
      <w:r>
        <w:rPr>
          <w:rFonts w:ascii="仿宋_GB2312" w:eastAsia="仿宋_GB2312" w:hint="eastAsia"/>
          <w:sz w:val="32"/>
          <w:szCs w:val="32"/>
          <w:lang w:eastAsia="zh-CN"/>
        </w:rPr>
        <w:t>单位本年新进人员职级低，工资基数小于调出人员，人员工资、津补贴等人员经费实际业务金额小于年初预算安排金额</w:t>
      </w:r>
      <w:r>
        <w:rPr>
          <w:rFonts w:ascii="仿宋_GB2312" w:eastAsia="仿宋_GB2312"/>
          <w:sz w:val="32"/>
          <w:szCs w:val="32"/>
          <w:lang w:eastAsia="zh-CN"/>
        </w:rPr>
        <w:t>。</w:t>
      </w:r>
      <w:bookmarkEnd w:id="1"/>
    </w:p>
    <w:p w14:paraId="67062087"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11ABB79" w14:textId="77777777" w:rsidR="00C540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9970865" w14:textId="25AAC916"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2024年度一般公共预算财政拨款支出1,557.96万元，占本年支出合计的94.30%。与上年相比，增加264.65万元，增长20.46%，主要原因是：</w:t>
      </w:r>
      <w:r>
        <w:rPr>
          <w:rFonts w:ascii="仿宋_GB2312" w:eastAsia="仿宋_GB2312" w:hint="eastAsia"/>
          <w:sz w:val="32"/>
          <w:szCs w:val="32"/>
          <w:lang w:eastAsia="zh-CN"/>
        </w:rPr>
        <w:t>本年在职人员增加，基本工资、津补贴、奖金等人员经费较上年增加；本年增加城乡义务教育保障机制经费、昌吉州教育项目州本级配套资金等项目经费</w:t>
      </w:r>
      <w:r>
        <w:rPr>
          <w:rFonts w:ascii="仿宋_GB2312" w:eastAsia="仿宋_GB2312"/>
          <w:sz w:val="32"/>
          <w:szCs w:val="32"/>
          <w:lang w:eastAsia="zh-CN"/>
        </w:rPr>
        <w:t>。与年初预算相比，年初预算数1,628.76万元，决算数1,557.96万元，预决算差异率-4.35%，主要原因是：</w:t>
      </w:r>
      <w:r>
        <w:rPr>
          <w:rFonts w:ascii="仿宋_GB2312" w:eastAsia="仿宋_GB2312" w:hint="eastAsia"/>
          <w:sz w:val="32"/>
          <w:szCs w:val="32"/>
          <w:lang w:eastAsia="zh-CN"/>
        </w:rPr>
        <w:t>单位本年新进人员职级低，工资基数小于调出人员，人员工资、津补贴等人员经费实际业务金额小于年初预算安排金额</w:t>
      </w:r>
      <w:r>
        <w:rPr>
          <w:rFonts w:ascii="仿宋_GB2312" w:eastAsia="仿宋_GB2312"/>
          <w:sz w:val="32"/>
          <w:szCs w:val="32"/>
          <w:lang w:eastAsia="zh-CN"/>
        </w:rPr>
        <w:t>。</w:t>
      </w:r>
    </w:p>
    <w:p w14:paraId="2229D2D9" w14:textId="77777777" w:rsidR="00C540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98AA59A"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一般公共服务支出（类）3.00万元，占0.19%。</w:t>
      </w:r>
    </w:p>
    <w:p w14:paraId="16FFC576"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教育支出（类）1,553.59万元，占99.72%。</w:t>
      </w:r>
    </w:p>
    <w:p w14:paraId="6D470267"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社会保障和就业支出（类）1.37万元，占0.09%。</w:t>
      </w:r>
    </w:p>
    <w:p w14:paraId="58340EA5" w14:textId="77777777" w:rsidR="00C540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022B910"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1、一般公共服务支出（类）组织事务（款）其他组织事务支出（项）：支出决算数为3.00万元，比上年决算增加3.00万元，增长100.00%，主要原因是：本年新增</w:t>
      </w:r>
      <w:r>
        <w:rPr>
          <w:rFonts w:ascii="仿宋_GB2312" w:eastAsia="仿宋_GB2312" w:hint="eastAsia"/>
          <w:sz w:val="32"/>
          <w:szCs w:val="32"/>
          <w:lang w:eastAsia="zh-CN"/>
        </w:rPr>
        <w:t>“庭州英才”人才计划支持资金</w:t>
      </w:r>
      <w:r>
        <w:rPr>
          <w:rFonts w:ascii="仿宋_GB2312" w:eastAsia="仿宋_GB2312"/>
          <w:sz w:val="32"/>
          <w:szCs w:val="32"/>
          <w:lang w:eastAsia="zh-CN"/>
        </w:rPr>
        <w:t>。</w:t>
      </w:r>
    </w:p>
    <w:p w14:paraId="2F2294F2"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2、教育支出（类）普通教育（款）学前教育（项）：支出决算数为227.14万元，比上年决算减少16.35万元，下降6.71%，主要原因是：</w:t>
      </w:r>
      <w:r>
        <w:rPr>
          <w:rFonts w:ascii="仿宋_GB2312" w:eastAsia="仿宋_GB2312" w:hint="eastAsia"/>
          <w:sz w:val="32"/>
          <w:szCs w:val="32"/>
          <w:lang w:eastAsia="zh-CN"/>
        </w:rPr>
        <w:t>单位本年学前三年免费教育保障机制经费较上年减少</w:t>
      </w:r>
      <w:r>
        <w:rPr>
          <w:rFonts w:ascii="仿宋_GB2312" w:eastAsia="仿宋_GB2312"/>
          <w:sz w:val="32"/>
          <w:szCs w:val="32"/>
          <w:lang w:eastAsia="zh-CN"/>
        </w:rPr>
        <w:t>。</w:t>
      </w:r>
    </w:p>
    <w:p w14:paraId="5CB8E499"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3、教育支出（类）普通教育（款）小学教育（项）：支出决算数为1,320.36万元，比上年决算增加340.87万元，增</w:t>
      </w:r>
      <w:r>
        <w:rPr>
          <w:rFonts w:ascii="仿宋_GB2312" w:eastAsia="仿宋_GB2312"/>
          <w:sz w:val="32"/>
          <w:szCs w:val="32"/>
          <w:lang w:eastAsia="zh-CN"/>
        </w:rPr>
        <w:lastRenderedPageBreak/>
        <w:t>长34.80%，主要原因是：</w:t>
      </w:r>
      <w:r>
        <w:rPr>
          <w:rFonts w:ascii="仿宋_GB2312" w:eastAsia="仿宋_GB2312" w:hint="eastAsia"/>
          <w:sz w:val="32"/>
          <w:szCs w:val="32"/>
          <w:lang w:eastAsia="zh-CN"/>
        </w:rPr>
        <w:t>单位本年城乡义务教育保障机制经费、昌吉州教育项目州本级配套资金等较上年增加</w:t>
      </w:r>
      <w:r>
        <w:rPr>
          <w:rFonts w:ascii="仿宋_GB2312" w:eastAsia="仿宋_GB2312"/>
          <w:sz w:val="32"/>
          <w:szCs w:val="32"/>
          <w:lang w:eastAsia="zh-CN"/>
        </w:rPr>
        <w:t>。</w:t>
      </w:r>
    </w:p>
    <w:p w14:paraId="3C26B5DF"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4、教育支出（类）教育费附加安排的支出（款）农村中小学校舍建设（项）：支出决算数为3.20万元，比上年决算增加3.20万元，增长100.00%，主要原因是：</w:t>
      </w:r>
      <w:r>
        <w:rPr>
          <w:rFonts w:ascii="仿宋_GB2312" w:eastAsia="仿宋_GB2312" w:hint="eastAsia"/>
          <w:sz w:val="32"/>
          <w:szCs w:val="32"/>
          <w:lang w:eastAsia="zh-CN"/>
        </w:rPr>
        <w:t>单位本年新增教育费附加资金</w:t>
      </w:r>
      <w:r>
        <w:rPr>
          <w:rFonts w:ascii="仿宋_GB2312" w:eastAsia="仿宋_GB2312"/>
          <w:sz w:val="32"/>
          <w:szCs w:val="32"/>
          <w:lang w:eastAsia="zh-CN"/>
        </w:rPr>
        <w:t>。</w:t>
      </w:r>
    </w:p>
    <w:p w14:paraId="341C0241"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5、教育支出（类）教育费附加安排的支出（款）其他教育费附加安排的支出（项）：支出决算数为2.89万元，比上年决算减少0.80万元，下降21.68%，主要原因是：</w:t>
      </w:r>
      <w:r>
        <w:rPr>
          <w:rFonts w:ascii="仿宋_GB2312" w:eastAsia="仿宋_GB2312" w:hint="eastAsia"/>
          <w:sz w:val="32"/>
          <w:szCs w:val="32"/>
          <w:lang w:eastAsia="zh-CN"/>
        </w:rPr>
        <w:t>单位本年教育系统托管费较上年减少</w:t>
      </w:r>
      <w:r>
        <w:rPr>
          <w:rFonts w:ascii="仿宋_GB2312" w:eastAsia="仿宋_GB2312"/>
          <w:sz w:val="32"/>
          <w:szCs w:val="32"/>
          <w:lang w:eastAsia="zh-CN"/>
        </w:rPr>
        <w:t>。</w:t>
      </w:r>
    </w:p>
    <w:p w14:paraId="318F5413"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6、社会保障和就业支出（类）行政事业单位养老支出（款）事业单位离退休（项）：支出决算数为0.00万元，比上年决算减少26.72万元，下降100.00%，主要原因是：</w:t>
      </w:r>
      <w:r>
        <w:rPr>
          <w:rFonts w:ascii="仿宋_GB2312" w:eastAsia="仿宋_GB2312" w:hint="eastAsia"/>
          <w:sz w:val="32"/>
          <w:szCs w:val="32"/>
          <w:lang w:eastAsia="zh-CN"/>
        </w:rPr>
        <w:t>单位本年功能科目调整，</w:t>
      </w:r>
      <w:r>
        <w:rPr>
          <w:rFonts w:ascii="仿宋_GB2312" w:eastAsia="仿宋_GB2312"/>
          <w:sz w:val="32"/>
          <w:szCs w:val="32"/>
          <w:lang w:eastAsia="zh-CN"/>
        </w:rPr>
        <w:t>事业单位离退休（项）</w:t>
      </w:r>
      <w:r>
        <w:rPr>
          <w:rFonts w:ascii="仿宋_GB2312" w:eastAsia="仿宋_GB2312" w:hint="eastAsia"/>
          <w:sz w:val="32"/>
          <w:szCs w:val="32"/>
          <w:lang w:eastAsia="zh-CN"/>
        </w:rPr>
        <w:t>调整至</w:t>
      </w:r>
      <w:r>
        <w:rPr>
          <w:rFonts w:ascii="仿宋_GB2312" w:eastAsia="仿宋_GB2312"/>
          <w:sz w:val="32"/>
          <w:szCs w:val="32"/>
          <w:lang w:eastAsia="zh-CN"/>
        </w:rPr>
        <w:t>小学教育（项）</w:t>
      </w:r>
      <w:r>
        <w:rPr>
          <w:rFonts w:ascii="仿宋_GB2312" w:eastAsia="仿宋_GB2312" w:hint="eastAsia"/>
          <w:sz w:val="32"/>
          <w:szCs w:val="32"/>
          <w:lang w:eastAsia="zh-CN"/>
        </w:rPr>
        <w:t>中核算，导致此项经费减少</w:t>
      </w:r>
      <w:r>
        <w:rPr>
          <w:rFonts w:ascii="仿宋_GB2312" w:eastAsia="仿宋_GB2312"/>
          <w:sz w:val="32"/>
          <w:szCs w:val="32"/>
          <w:lang w:eastAsia="zh-CN"/>
        </w:rPr>
        <w:t>。</w:t>
      </w:r>
    </w:p>
    <w:p w14:paraId="62993C49"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7、社会保障和就业支出（类）行政事业单位养老支出（款）机关事业单位职业年金缴费支出（项）：支出决算数为0.00万元，比上年决算减少27.49万元，下降100.00%，主要原因是：</w:t>
      </w:r>
      <w:bookmarkStart w:id="2" w:name="OLE_LINK4"/>
      <w:r>
        <w:rPr>
          <w:rFonts w:ascii="仿宋_GB2312" w:eastAsia="仿宋_GB2312" w:hint="eastAsia"/>
          <w:sz w:val="32"/>
          <w:szCs w:val="32"/>
          <w:lang w:eastAsia="zh-CN"/>
        </w:rPr>
        <w:t>单位本</w:t>
      </w:r>
      <w:r>
        <w:rPr>
          <w:rFonts w:ascii="仿宋_GB2312" w:eastAsia="仿宋_GB2312"/>
          <w:sz w:val="32"/>
          <w:szCs w:val="32"/>
          <w:lang w:eastAsia="zh-CN"/>
        </w:rPr>
        <w:t>年</w:t>
      </w:r>
      <w:bookmarkEnd w:id="2"/>
      <w:r>
        <w:rPr>
          <w:rFonts w:ascii="仿宋_GB2312" w:eastAsia="仿宋_GB2312" w:hint="eastAsia"/>
          <w:sz w:val="32"/>
          <w:szCs w:val="32"/>
          <w:lang w:eastAsia="zh-CN"/>
        </w:rPr>
        <w:t>一次性职业年金缴费较上年减少</w:t>
      </w:r>
      <w:r>
        <w:rPr>
          <w:rFonts w:ascii="仿宋_GB2312" w:eastAsia="仿宋_GB2312"/>
          <w:sz w:val="32"/>
          <w:szCs w:val="32"/>
          <w:lang w:eastAsia="zh-CN"/>
        </w:rPr>
        <w:t>。</w:t>
      </w:r>
    </w:p>
    <w:p w14:paraId="2BAA9F20" w14:textId="2BF6154D"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8、社会保障和就业支出（类）抚恤（款）死亡抚恤（项）：支出决算数为1.37万元，比上年决算减少11.06万元，下降88.98%，主要原因是：</w:t>
      </w:r>
      <w:bookmarkStart w:id="3" w:name="_Hlk209273923"/>
      <w:bookmarkStart w:id="4" w:name="_Hlk209269077"/>
      <w:r w:rsidR="009C793F" w:rsidRPr="00492284">
        <w:rPr>
          <w:rFonts w:ascii="仿宋_GB2312" w:eastAsia="仿宋_GB2312" w:hint="eastAsia"/>
          <w:sz w:val="32"/>
          <w:szCs w:val="32"/>
        </w:rPr>
        <w:t>单位本年人员丧葬费、抚恤金补助经费</w:t>
      </w:r>
      <w:bookmarkEnd w:id="3"/>
      <w:r w:rsidR="009C793F" w:rsidRPr="00492284">
        <w:rPr>
          <w:rFonts w:ascii="仿宋_GB2312" w:eastAsia="仿宋_GB2312" w:hint="eastAsia"/>
          <w:sz w:val="32"/>
          <w:szCs w:val="32"/>
        </w:rPr>
        <w:t>减少</w:t>
      </w:r>
      <w:bookmarkEnd w:id="4"/>
      <w:r>
        <w:rPr>
          <w:rFonts w:ascii="仿宋_GB2312" w:eastAsia="仿宋_GB2312"/>
          <w:sz w:val="32"/>
          <w:szCs w:val="32"/>
          <w:lang w:eastAsia="zh-CN"/>
        </w:rPr>
        <w:t>。</w:t>
      </w:r>
    </w:p>
    <w:p w14:paraId="4BA769F6"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098EC50"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1,326.28万元，其中：人员经费1,271.87万元，包括：基本工资、津贴补贴、奖金、机关事业单位基本养老保险缴费、职工基本医疗保险缴费、其他社会保障缴费、住房公积金、退休费、生活补助、助学金和奖励金。</w:t>
      </w:r>
    </w:p>
    <w:p w14:paraId="35AEB31F"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公用经费54.40万元，包括：电费、邮电费、取暖费、培训费、工会经费和公务用车运行维护费。</w:t>
      </w:r>
    </w:p>
    <w:p w14:paraId="0A1A820F"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七、政府性基金预算财政拨款收入支出决算情况说明</w:t>
      </w:r>
    </w:p>
    <w:p w14:paraId="35FC2C1A"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634B332"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CB3F28"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642D1FF"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C7F1621" w14:textId="174E7D84"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经费支出0.60万元，比上年增加0.30万元，增长100.00%，主要原因是：</w:t>
      </w:r>
      <w:bookmarkStart w:id="5" w:name="OLE_LINK5"/>
      <w:r>
        <w:rPr>
          <w:rFonts w:ascii="仿宋_GB2312" w:eastAsia="仿宋_GB2312"/>
          <w:sz w:val="32"/>
          <w:szCs w:val="32"/>
          <w:lang w:eastAsia="zh-CN"/>
        </w:rPr>
        <w:t>单位</w:t>
      </w:r>
      <w:r>
        <w:rPr>
          <w:rFonts w:ascii="仿宋_GB2312" w:eastAsia="仿宋_GB2312" w:hint="eastAsia"/>
          <w:sz w:val="32"/>
          <w:szCs w:val="32"/>
          <w:lang w:eastAsia="zh-CN"/>
        </w:rPr>
        <w:t>本年</w:t>
      </w:r>
      <w:r>
        <w:rPr>
          <w:rFonts w:ascii="仿宋_GB2312" w:eastAsia="仿宋_GB2312"/>
          <w:sz w:val="32"/>
          <w:szCs w:val="32"/>
          <w:lang w:eastAsia="zh-CN"/>
        </w:rPr>
        <w:t>承办了自治区劳动教育现场会，公务用车需求增大</w:t>
      </w:r>
      <w:r>
        <w:rPr>
          <w:rFonts w:ascii="仿宋_GB2312" w:eastAsia="仿宋_GB2312" w:hint="eastAsia"/>
          <w:sz w:val="32"/>
          <w:szCs w:val="32"/>
          <w:lang w:eastAsia="zh-CN"/>
        </w:rPr>
        <w:t>，公务用车维修维护费、燃油费等较上年</w:t>
      </w:r>
      <w:r w:rsidR="004C18F8">
        <w:rPr>
          <w:rFonts w:ascii="仿宋_GB2312" w:eastAsia="仿宋_GB2312" w:hint="eastAsia"/>
          <w:sz w:val="32"/>
          <w:szCs w:val="32"/>
          <w:lang w:eastAsia="zh-CN"/>
        </w:rPr>
        <w:t>增加</w:t>
      </w:r>
      <w:r>
        <w:rPr>
          <w:rFonts w:ascii="仿宋_GB2312" w:eastAsia="仿宋_GB2312"/>
          <w:sz w:val="32"/>
          <w:szCs w:val="32"/>
          <w:lang w:eastAsia="zh-CN"/>
        </w:rPr>
        <w:t>。</w:t>
      </w:r>
      <w:bookmarkEnd w:id="5"/>
      <w:r>
        <w:rPr>
          <w:rFonts w:ascii="仿宋_GB2312" w:eastAsia="仿宋_GB2312"/>
          <w:sz w:val="32"/>
          <w:szCs w:val="32"/>
          <w:lang w:eastAsia="zh-CN"/>
        </w:rPr>
        <w:t>其中：因公出国（境）费支出0.00万元,占0.00%，与上年相比无变化，主要原因是：</w:t>
      </w:r>
      <w:bookmarkStart w:id="6" w:name="OLE_LINK6"/>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bookmarkEnd w:id="6"/>
      <w:r>
        <w:rPr>
          <w:rFonts w:ascii="仿宋_GB2312" w:eastAsia="仿宋_GB2312"/>
          <w:sz w:val="32"/>
          <w:szCs w:val="32"/>
          <w:lang w:eastAsia="zh-CN"/>
        </w:rPr>
        <w:t>；公务用车购置及运行维护费支出0.60万元，占100.00%，比上年增加0.30万元，增长100.00%，主要原因是：单位</w:t>
      </w:r>
      <w:r>
        <w:rPr>
          <w:rFonts w:ascii="仿宋_GB2312" w:eastAsia="仿宋_GB2312" w:hint="eastAsia"/>
          <w:sz w:val="32"/>
          <w:szCs w:val="32"/>
          <w:lang w:eastAsia="zh-CN"/>
        </w:rPr>
        <w:t>本年</w:t>
      </w:r>
      <w:r>
        <w:rPr>
          <w:rFonts w:ascii="仿宋_GB2312" w:eastAsia="仿宋_GB2312"/>
          <w:sz w:val="32"/>
          <w:szCs w:val="32"/>
          <w:lang w:eastAsia="zh-CN"/>
        </w:rPr>
        <w:t>承办了自治区劳动教育现场会，公务用车需求增大</w:t>
      </w:r>
      <w:r>
        <w:rPr>
          <w:rFonts w:ascii="仿宋_GB2312" w:eastAsia="仿宋_GB2312" w:hint="eastAsia"/>
          <w:sz w:val="32"/>
          <w:szCs w:val="32"/>
          <w:lang w:eastAsia="zh-CN"/>
        </w:rPr>
        <w:t>，公务用车维修维护费、燃油费等较上年</w:t>
      </w:r>
      <w:r w:rsidR="004C18F8">
        <w:rPr>
          <w:rFonts w:ascii="仿宋_GB2312" w:eastAsia="仿宋_GB2312" w:hint="eastAsia"/>
          <w:sz w:val="32"/>
          <w:szCs w:val="32"/>
          <w:lang w:eastAsia="zh-CN"/>
        </w:rPr>
        <w:t>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2280B872" w14:textId="77777777" w:rsidR="00C540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F30B9B1"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因公出国（境）费。单位全年安排的因公出国（境）团组0个，因公出国（境）0人次。</w:t>
      </w:r>
    </w:p>
    <w:p w14:paraId="4B5091B1"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公务用车购置及运行维护费0.60万元，其中：公务用车购置费0.00万元，公务用车运行维护费0.60万元。公务用车运行维护费开支内容包括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6CF21DB2"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1F6A332C"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经费支出全年预算数0.60万元，决算数0.60万元，预决算差异率0.00%，主要原因是：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bookmarkStart w:id="7" w:name="OLE_LINK7"/>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；公务用车运行维护费全年预算数0.60万元，决算数0.60万元，预决算差异率0.00%，主要原因是：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839DC0D"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EBBB9FC" w14:textId="77777777" w:rsidR="00C540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2DADB87"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2024年度木垒哈萨克自治县新户镇中心学校单位（事业单位）公用经费支出54.40万元，比上年增加16.97万元，增长45.34%，主要原因是：</w:t>
      </w:r>
      <w:r>
        <w:rPr>
          <w:rFonts w:ascii="仿宋_GB2312" w:eastAsia="仿宋_GB2312" w:hint="eastAsia"/>
          <w:sz w:val="32"/>
          <w:szCs w:val="32"/>
          <w:lang w:eastAsia="zh-CN"/>
        </w:rPr>
        <w:t>单位本年电费、邮电费、培训费、工会经费等公用经费较上年增加</w:t>
      </w:r>
      <w:r>
        <w:rPr>
          <w:rFonts w:ascii="仿宋_GB2312" w:eastAsia="仿宋_GB2312"/>
          <w:sz w:val="32"/>
          <w:szCs w:val="32"/>
          <w:lang w:eastAsia="zh-CN"/>
        </w:rPr>
        <w:t>。</w:t>
      </w:r>
    </w:p>
    <w:p w14:paraId="1124A1F0" w14:textId="77777777" w:rsidR="00C540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5652A23"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2024年度政府采购支出总额108.33万元，其中：政府采购货物支出29.53万元、政府采购工程支出6.95万元、政府采购服务支出71.85万元。</w:t>
      </w:r>
    </w:p>
    <w:p w14:paraId="550E5229"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授予中小企业合同金额108.33万元，占政府采购支出总额的100.00%，其中：授予小微企业合同金额108.33万元，占政府采购支出总额的100.00%。</w:t>
      </w:r>
    </w:p>
    <w:p w14:paraId="2172D9BF" w14:textId="77777777" w:rsidR="00C540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4E18289C"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截至2024年12月31日，房屋8,349.50平方米，价值1,639.05万元。</w:t>
      </w:r>
      <w:r>
        <w:rPr>
          <w:rFonts w:ascii="仿宋_GB2312" w:eastAsia="仿宋_GB2312"/>
          <w:sz w:val="32"/>
          <w:szCs w:val="32"/>
          <w:lang w:eastAsia="zh-CN"/>
        </w:rPr>
        <w:t>车辆1辆，价值9.28万元，其中：副部（省）级及以上领导用车0辆、主要负责人用车0辆、机要通信用车</w:t>
      </w:r>
      <w:r>
        <w:rPr>
          <w:rFonts w:ascii="仿宋_GB2312" w:eastAsia="仿宋_GB2312"/>
          <w:sz w:val="32"/>
          <w:szCs w:val="32"/>
          <w:lang w:eastAsia="zh-CN"/>
        </w:rPr>
        <w:lastRenderedPageBreak/>
        <w:t>0辆、应急保障用车0辆、执法执勤用车0辆、特种专业技术用车0辆、离退休干部服务用车0辆、其他用车1辆，其他用车主要是：实践基地专用拖拉机;单价100万元（含）以上设备（不含车辆）0台（套）。</w:t>
      </w:r>
    </w:p>
    <w:p w14:paraId="0FDAD9AB"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9DD254C"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根据预算绩效管理要求，本单位2024年度预算绩效管理形成整体支出绩效自评表1个，全年预算总额1,652.19万元，实际执行总额1,652.19万元；预算绩效评价项目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一是我单位通过加强预算收支管理，不断建立健全内部管理制度，梳理内部管理流程，部门整体支出管理情况得到提升；二是我单位完成了宣传贯彻执行党和国家的教育方针、政策、法律法规等坚持依法执教、依法治学，贯彻执行县教育局的行政规章制度；组织开展本校的教育科学科研和教育教学改革，全力推进素质教育实施。发现的问题及原因：一是教师培训不足：教师参加专业培训、学术交流的机会相对较少，限制了教师教学理念的更新和教学方法的改进。部分教师对新的教育技术、课程标准理解和应用不够，难以满足现代教育教学的需求；二是教学设施相对落后：尽管学校在不断改善教育教学环境，但与县城学校相比，教学设施仍显落后。部分教室的教学设备陈旧，如多媒体设备老化，影响教学效果；实验器材不足，无法满足学生实验课程的需求，不利于培养学生的实践动手能力；三是管理体制不够灵活：学校管理决策过程相对繁琐，缺乏灵活性和创新性。在应对一些突发教育事件或新的教育政策时，调整速度较慢，不能及时适应教育形势的变化。例如，在课程设置调整方面，审批流程较长，导致新的课程理念不能及时在教学中体现。下一步改进措施：一是优化教师结构：加大对高学历教师的招聘力度，通过提供住房补贴、安家费等优惠政策吸引优秀大学毕业生到学校任教。同时，鼓励在职教师提升学历，对取得更高学历的教师给予一定的奖励。在职称评定方面，建立科学合理的考评机制；二是更新教学设施：积</w:t>
      </w:r>
      <w:r>
        <w:rPr>
          <w:rFonts w:ascii="仿宋_GB2312" w:eastAsia="仿宋_GB2312"/>
          <w:sz w:val="32"/>
          <w:szCs w:val="32"/>
          <w:lang w:eastAsia="zh-CN"/>
        </w:rPr>
        <w:lastRenderedPageBreak/>
        <w:t>极争取上级教育部门的资金支持，更新学校的教学设备。定期对教室的多媒体设备进行维护和升级，确保设备正常运行。增加实验器材的采购，按照课程标准配齐各类实验器材，满足学生实验课程需求。同时，加强对教学设施的管理和维护，建立设备使用登记制度，延长设备使用寿命。三是优化管理体制：简化学校管理决策流程，赋予学校管理层一定的自主决策权。建立快速响应机制，在面对教育政策调整或突发教育事件时，能够及时做出决策和调整。加强学校管理团队建设，定期组织管理培训，提升管理人员的管理水平和创新意识。引入现代学校管理理念，如项目管理、精细化管理等，提高学校管理效率。具体附部门整体支出绩效自评表。</w:t>
      </w:r>
    </w:p>
    <w:p w14:paraId="13ECCCF2" w14:textId="77777777" w:rsidR="00C54024" w:rsidRDefault="00C54024">
      <w:pPr>
        <w:widowControl w:val="0"/>
        <w:spacing w:after="0" w:line="240" w:lineRule="auto"/>
        <w:rPr>
          <w:rFonts w:ascii="宋体" w:eastAsia="宋体" w:hAnsi="宋体" w:cs="Times New Roman" w:hint="eastAsia"/>
          <w:b/>
          <w:bCs/>
          <w:sz w:val="18"/>
          <w:szCs w:val="18"/>
          <w:lang w:eastAsia="zh-CN"/>
        </w:rPr>
      </w:pPr>
    </w:p>
    <w:p w14:paraId="7E7F2ECF" w14:textId="77777777" w:rsidR="00C54024"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7033C5AA" w14:textId="77777777" w:rsidR="00C54024"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760" w:type="dxa"/>
        <w:tblInd w:w="-601" w:type="dxa"/>
        <w:tblLayout w:type="fixed"/>
        <w:tblLook w:val="04A0" w:firstRow="1" w:lastRow="0" w:firstColumn="1" w:lastColumn="0" w:noHBand="0" w:noVBand="1"/>
      </w:tblPr>
      <w:tblGrid>
        <w:gridCol w:w="1004"/>
        <w:gridCol w:w="1433"/>
        <w:gridCol w:w="1434"/>
        <w:gridCol w:w="1290"/>
        <w:gridCol w:w="1862"/>
        <w:gridCol w:w="1004"/>
        <w:gridCol w:w="1003"/>
        <w:gridCol w:w="730"/>
      </w:tblGrid>
      <w:tr w:rsidR="00C54024" w14:paraId="7F572842" w14:textId="77777777">
        <w:trPr>
          <w:cantSplit/>
          <w:trHeight w:val="627"/>
        </w:trPr>
        <w:tc>
          <w:tcPr>
            <w:tcW w:w="1004" w:type="dxa"/>
            <w:tcBorders>
              <w:top w:val="single" w:sz="4" w:space="0" w:color="auto"/>
              <w:left w:val="single" w:sz="4" w:space="0" w:color="auto"/>
              <w:bottom w:val="single" w:sz="4" w:space="0" w:color="auto"/>
              <w:right w:val="single" w:sz="4" w:space="0" w:color="auto"/>
            </w:tcBorders>
            <w:noWrap/>
            <w:vAlign w:val="center"/>
          </w:tcPr>
          <w:p w14:paraId="0D32FE60"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756" w:type="dxa"/>
            <w:gridSpan w:val="7"/>
            <w:tcBorders>
              <w:top w:val="single" w:sz="4" w:space="0" w:color="auto"/>
              <w:left w:val="nil"/>
              <w:bottom w:val="single" w:sz="4" w:space="0" w:color="auto"/>
              <w:right w:val="single" w:sz="4" w:space="0" w:color="auto"/>
            </w:tcBorders>
            <w:noWrap/>
            <w:vAlign w:val="center"/>
          </w:tcPr>
          <w:p w14:paraId="785566D6"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木垒县新户中心学校</w:t>
            </w:r>
          </w:p>
        </w:tc>
      </w:tr>
      <w:tr w:rsidR="00C54024" w14:paraId="559DBF21" w14:textId="77777777">
        <w:trPr>
          <w:cantSplit/>
          <w:trHeight w:val="542"/>
        </w:trPr>
        <w:tc>
          <w:tcPr>
            <w:tcW w:w="1004" w:type="dxa"/>
            <w:vMerge w:val="restart"/>
            <w:tcBorders>
              <w:top w:val="nil"/>
              <w:left w:val="single" w:sz="4" w:space="0" w:color="auto"/>
              <w:bottom w:val="single" w:sz="4" w:space="0" w:color="auto"/>
              <w:right w:val="single" w:sz="4" w:space="0" w:color="auto"/>
            </w:tcBorders>
            <w:vAlign w:val="center"/>
          </w:tcPr>
          <w:p w14:paraId="4DB06A61"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33" w:type="dxa"/>
            <w:tcBorders>
              <w:top w:val="nil"/>
              <w:left w:val="nil"/>
              <w:bottom w:val="single" w:sz="4" w:space="0" w:color="auto"/>
              <w:right w:val="single" w:sz="4" w:space="0" w:color="auto"/>
            </w:tcBorders>
            <w:vAlign w:val="center"/>
          </w:tcPr>
          <w:p w14:paraId="03EDF591"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34" w:type="dxa"/>
            <w:tcBorders>
              <w:top w:val="nil"/>
              <w:left w:val="nil"/>
              <w:bottom w:val="single" w:sz="4" w:space="0" w:color="auto"/>
              <w:right w:val="single" w:sz="4" w:space="0" w:color="auto"/>
            </w:tcBorders>
            <w:vAlign w:val="center"/>
          </w:tcPr>
          <w:p w14:paraId="5AF2657C"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90" w:type="dxa"/>
            <w:tcBorders>
              <w:top w:val="nil"/>
              <w:left w:val="nil"/>
              <w:bottom w:val="single" w:sz="4" w:space="0" w:color="auto"/>
              <w:right w:val="single" w:sz="4" w:space="0" w:color="auto"/>
            </w:tcBorders>
            <w:vAlign w:val="center"/>
          </w:tcPr>
          <w:p w14:paraId="202C2D86"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862" w:type="dxa"/>
            <w:tcBorders>
              <w:top w:val="nil"/>
              <w:left w:val="nil"/>
              <w:bottom w:val="single" w:sz="4" w:space="0" w:color="auto"/>
              <w:right w:val="single" w:sz="4" w:space="0" w:color="auto"/>
            </w:tcBorders>
            <w:vAlign w:val="center"/>
          </w:tcPr>
          <w:p w14:paraId="59DB4199"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004" w:type="dxa"/>
            <w:tcBorders>
              <w:top w:val="nil"/>
              <w:left w:val="nil"/>
              <w:bottom w:val="single" w:sz="4" w:space="0" w:color="auto"/>
              <w:right w:val="single" w:sz="4" w:space="0" w:color="auto"/>
            </w:tcBorders>
            <w:vAlign w:val="center"/>
          </w:tcPr>
          <w:p w14:paraId="4B707534"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003" w:type="dxa"/>
            <w:tcBorders>
              <w:top w:val="nil"/>
              <w:left w:val="nil"/>
              <w:bottom w:val="single" w:sz="4" w:space="0" w:color="auto"/>
              <w:right w:val="single" w:sz="4" w:space="0" w:color="auto"/>
            </w:tcBorders>
            <w:vAlign w:val="center"/>
          </w:tcPr>
          <w:p w14:paraId="344D37F0"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8" w:type="dxa"/>
            <w:tcBorders>
              <w:top w:val="nil"/>
              <w:left w:val="nil"/>
              <w:bottom w:val="single" w:sz="4" w:space="0" w:color="auto"/>
              <w:right w:val="single" w:sz="4" w:space="0" w:color="auto"/>
            </w:tcBorders>
            <w:vAlign w:val="center"/>
          </w:tcPr>
          <w:p w14:paraId="1167C92F"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C54024" w14:paraId="5DDBE0C5" w14:textId="77777777">
        <w:trPr>
          <w:cantSplit/>
          <w:trHeight w:val="465"/>
        </w:trPr>
        <w:tc>
          <w:tcPr>
            <w:tcW w:w="1004" w:type="dxa"/>
            <w:vMerge/>
            <w:tcBorders>
              <w:top w:val="nil"/>
              <w:left w:val="single" w:sz="4" w:space="0" w:color="auto"/>
              <w:bottom w:val="single" w:sz="4" w:space="0" w:color="auto"/>
              <w:right w:val="single" w:sz="4" w:space="0" w:color="auto"/>
            </w:tcBorders>
            <w:vAlign w:val="center"/>
          </w:tcPr>
          <w:p w14:paraId="1FBA3187" w14:textId="77777777" w:rsidR="00C54024" w:rsidRDefault="00C54024">
            <w:pPr>
              <w:spacing w:after="0" w:line="240" w:lineRule="auto"/>
              <w:rPr>
                <w:rFonts w:ascii="宋体" w:eastAsia="宋体" w:hAnsi="宋体" w:cs="Times New Roman" w:hint="eastAsia"/>
                <w:b/>
                <w:bCs/>
                <w:sz w:val="18"/>
                <w:szCs w:val="18"/>
                <w:lang w:eastAsia="zh-CN"/>
              </w:rPr>
            </w:pPr>
          </w:p>
        </w:tc>
        <w:tc>
          <w:tcPr>
            <w:tcW w:w="1433" w:type="dxa"/>
            <w:tcBorders>
              <w:top w:val="nil"/>
              <w:left w:val="nil"/>
              <w:bottom w:val="single" w:sz="4" w:space="0" w:color="auto"/>
              <w:right w:val="single" w:sz="4" w:space="0" w:color="auto"/>
            </w:tcBorders>
            <w:noWrap/>
            <w:vAlign w:val="center"/>
          </w:tcPr>
          <w:p w14:paraId="450AC808"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34" w:type="dxa"/>
            <w:tcBorders>
              <w:top w:val="nil"/>
              <w:left w:val="nil"/>
              <w:bottom w:val="single" w:sz="4" w:space="0" w:color="auto"/>
              <w:right w:val="single" w:sz="4" w:space="0" w:color="auto"/>
            </w:tcBorders>
            <w:vAlign w:val="center"/>
          </w:tcPr>
          <w:p w14:paraId="49A8B964"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162.20</w:t>
            </w:r>
          </w:p>
        </w:tc>
        <w:tc>
          <w:tcPr>
            <w:tcW w:w="1290" w:type="dxa"/>
            <w:tcBorders>
              <w:top w:val="nil"/>
              <w:left w:val="nil"/>
              <w:bottom w:val="single" w:sz="4" w:space="0" w:color="auto"/>
              <w:right w:val="single" w:sz="4" w:space="0" w:color="auto"/>
            </w:tcBorders>
            <w:vAlign w:val="center"/>
          </w:tcPr>
          <w:p w14:paraId="68DD0D0A"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215.03</w:t>
            </w:r>
          </w:p>
        </w:tc>
        <w:tc>
          <w:tcPr>
            <w:tcW w:w="1862" w:type="dxa"/>
            <w:tcBorders>
              <w:top w:val="nil"/>
              <w:left w:val="nil"/>
              <w:bottom w:val="single" w:sz="4" w:space="0" w:color="auto"/>
              <w:right w:val="single" w:sz="4" w:space="0" w:color="auto"/>
            </w:tcBorders>
            <w:vAlign w:val="center"/>
          </w:tcPr>
          <w:p w14:paraId="034A1F10"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215.03</w:t>
            </w:r>
          </w:p>
        </w:tc>
        <w:tc>
          <w:tcPr>
            <w:tcW w:w="1004" w:type="dxa"/>
            <w:tcBorders>
              <w:top w:val="nil"/>
              <w:left w:val="nil"/>
              <w:bottom w:val="single" w:sz="4" w:space="0" w:color="auto"/>
              <w:right w:val="single" w:sz="4" w:space="0" w:color="auto"/>
            </w:tcBorders>
            <w:vAlign w:val="center"/>
          </w:tcPr>
          <w:p w14:paraId="4D9667E7"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003" w:type="dxa"/>
            <w:tcBorders>
              <w:top w:val="nil"/>
              <w:left w:val="nil"/>
              <w:bottom w:val="single" w:sz="4" w:space="0" w:color="auto"/>
              <w:right w:val="single" w:sz="4" w:space="0" w:color="auto"/>
            </w:tcBorders>
            <w:vAlign w:val="center"/>
          </w:tcPr>
          <w:p w14:paraId="1E1CE084"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8" w:type="dxa"/>
            <w:tcBorders>
              <w:top w:val="nil"/>
              <w:left w:val="nil"/>
              <w:bottom w:val="single" w:sz="4" w:space="0" w:color="auto"/>
              <w:right w:val="single" w:sz="4" w:space="0" w:color="auto"/>
            </w:tcBorders>
            <w:vAlign w:val="center"/>
          </w:tcPr>
          <w:p w14:paraId="54DDD90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C54024" w14:paraId="7E7D418D" w14:textId="77777777">
        <w:trPr>
          <w:cantSplit/>
          <w:trHeight w:val="404"/>
        </w:trPr>
        <w:tc>
          <w:tcPr>
            <w:tcW w:w="1004" w:type="dxa"/>
            <w:vMerge/>
            <w:tcBorders>
              <w:top w:val="nil"/>
              <w:left w:val="single" w:sz="4" w:space="0" w:color="auto"/>
              <w:bottom w:val="single" w:sz="4" w:space="0" w:color="auto"/>
              <w:right w:val="single" w:sz="4" w:space="0" w:color="auto"/>
            </w:tcBorders>
            <w:vAlign w:val="center"/>
          </w:tcPr>
          <w:p w14:paraId="574ACFBD" w14:textId="77777777" w:rsidR="00C54024" w:rsidRDefault="00C54024">
            <w:pPr>
              <w:spacing w:after="0" w:line="240" w:lineRule="auto"/>
              <w:rPr>
                <w:rFonts w:ascii="宋体" w:eastAsia="宋体" w:hAnsi="宋体" w:cs="Times New Roman" w:hint="eastAsia"/>
                <w:b/>
                <w:bCs/>
                <w:sz w:val="18"/>
                <w:szCs w:val="18"/>
                <w:lang w:eastAsia="zh-CN"/>
              </w:rPr>
            </w:pPr>
          </w:p>
        </w:tc>
        <w:tc>
          <w:tcPr>
            <w:tcW w:w="1433" w:type="dxa"/>
            <w:tcBorders>
              <w:top w:val="nil"/>
              <w:left w:val="nil"/>
              <w:bottom w:val="single" w:sz="4" w:space="0" w:color="auto"/>
              <w:right w:val="single" w:sz="4" w:space="0" w:color="auto"/>
            </w:tcBorders>
            <w:vAlign w:val="center"/>
          </w:tcPr>
          <w:p w14:paraId="6C106E42"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34" w:type="dxa"/>
            <w:tcBorders>
              <w:top w:val="nil"/>
              <w:left w:val="nil"/>
              <w:bottom w:val="single" w:sz="4" w:space="0" w:color="auto"/>
              <w:right w:val="single" w:sz="4" w:space="0" w:color="auto"/>
            </w:tcBorders>
            <w:vAlign w:val="center"/>
          </w:tcPr>
          <w:p w14:paraId="4D62C9B2"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1,466.56</w:t>
            </w:r>
          </w:p>
        </w:tc>
        <w:tc>
          <w:tcPr>
            <w:tcW w:w="1290" w:type="dxa"/>
            <w:tcBorders>
              <w:top w:val="nil"/>
              <w:left w:val="nil"/>
              <w:bottom w:val="single" w:sz="4" w:space="0" w:color="auto"/>
              <w:right w:val="single" w:sz="4" w:space="0" w:color="auto"/>
            </w:tcBorders>
            <w:vAlign w:val="center"/>
          </w:tcPr>
          <w:p w14:paraId="61E084E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1,362.53</w:t>
            </w:r>
          </w:p>
        </w:tc>
        <w:tc>
          <w:tcPr>
            <w:tcW w:w="1862" w:type="dxa"/>
            <w:tcBorders>
              <w:top w:val="nil"/>
              <w:left w:val="nil"/>
              <w:bottom w:val="single" w:sz="4" w:space="0" w:color="auto"/>
              <w:right w:val="single" w:sz="4" w:space="0" w:color="auto"/>
            </w:tcBorders>
            <w:vAlign w:val="center"/>
          </w:tcPr>
          <w:p w14:paraId="7D57B0EA"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1,362.53</w:t>
            </w:r>
          </w:p>
        </w:tc>
        <w:tc>
          <w:tcPr>
            <w:tcW w:w="1004" w:type="dxa"/>
            <w:tcBorders>
              <w:top w:val="nil"/>
              <w:left w:val="nil"/>
              <w:bottom w:val="single" w:sz="4" w:space="0" w:color="auto"/>
              <w:right w:val="single" w:sz="4" w:space="0" w:color="auto"/>
            </w:tcBorders>
            <w:vAlign w:val="center"/>
          </w:tcPr>
          <w:p w14:paraId="282AEBC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003" w:type="dxa"/>
            <w:tcBorders>
              <w:top w:val="nil"/>
              <w:left w:val="nil"/>
              <w:bottom w:val="single" w:sz="4" w:space="0" w:color="auto"/>
              <w:right w:val="single" w:sz="4" w:space="0" w:color="auto"/>
            </w:tcBorders>
            <w:vAlign w:val="center"/>
          </w:tcPr>
          <w:p w14:paraId="11A42B5B"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8" w:type="dxa"/>
            <w:tcBorders>
              <w:top w:val="nil"/>
              <w:left w:val="nil"/>
              <w:bottom w:val="single" w:sz="4" w:space="0" w:color="auto"/>
              <w:right w:val="single" w:sz="4" w:space="0" w:color="auto"/>
            </w:tcBorders>
            <w:vAlign w:val="center"/>
          </w:tcPr>
          <w:p w14:paraId="621FF169"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C54024" w14:paraId="5AE01CE7" w14:textId="77777777">
        <w:trPr>
          <w:cantSplit/>
          <w:trHeight w:val="395"/>
        </w:trPr>
        <w:tc>
          <w:tcPr>
            <w:tcW w:w="1004" w:type="dxa"/>
            <w:vMerge/>
            <w:tcBorders>
              <w:top w:val="nil"/>
              <w:left w:val="single" w:sz="4" w:space="0" w:color="auto"/>
              <w:bottom w:val="single" w:sz="4" w:space="0" w:color="auto"/>
              <w:right w:val="single" w:sz="4" w:space="0" w:color="auto"/>
            </w:tcBorders>
            <w:vAlign w:val="center"/>
          </w:tcPr>
          <w:p w14:paraId="2648BA75" w14:textId="77777777" w:rsidR="00C54024" w:rsidRDefault="00C54024">
            <w:pPr>
              <w:spacing w:after="0" w:line="240" w:lineRule="auto"/>
              <w:rPr>
                <w:rFonts w:ascii="宋体" w:eastAsia="宋体" w:hAnsi="宋体" w:cs="Times New Roman" w:hint="eastAsia"/>
                <w:b/>
                <w:bCs/>
                <w:sz w:val="18"/>
                <w:szCs w:val="18"/>
                <w:lang w:eastAsia="zh-CN"/>
              </w:rPr>
            </w:pPr>
          </w:p>
        </w:tc>
        <w:tc>
          <w:tcPr>
            <w:tcW w:w="1433" w:type="dxa"/>
            <w:tcBorders>
              <w:top w:val="nil"/>
              <w:left w:val="nil"/>
              <w:bottom w:val="single" w:sz="4" w:space="0" w:color="auto"/>
              <w:right w:val="single" w:sz="4" w:space="0" w:color="auto"/>
            </w:tcBorders>
            <w:vAlign w:val="center"/>
          </w:tcPr>
          <w:p w14:paraId="4F25D446"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34" w:type="dxa"/>
            <w:tcBorders>
              <w:top w:val="nil"/>
              <w:left w:val="nil"/>
              <w:bottom w:val="single" w:sz="4" w:space="0" w:color="auto"/>
              <w:right w:val="single" w:sz="4" w:space="0" w:color="auto"/>
            </w:tcBorders>
            <w:vAlign w:val="center"/>
          </w:tcPr>
          <w:p w14:paraId="794D5CFD"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147.05</w:t>
            </w:r>
          </w:p>
        </w:tc>
        <w:tc>
          <w:tcPr>
            <w:tcW w:w="1290" w:type="dxa"/>
            <w:tcBorders>
              <w:top w:val="nil"/>
              <w:left w:val="nil"/>
              <w:bottom w:val="single" w:sz="4" w:space="0" w:color="auto"/>
              <w:right w:val="single" w:sz="4" w:space="0" w:color="auto"/>
            </w:tcBorders>
            <w:vAlign w:val="center"/>
          </w:tcPr>
          <w:p w14:paraId="27F554C4"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74.63</w:t>
            </w:r>
          </w:p>
        </w:tc>
        <w:tc>
          <w:tcPr>
            <w:tcW w:w="1862" w:type="dxa"/>
            <w:tcBorders>
              <w:top w:val="nil"/>
              <w:left w:val="nil"/>
              <w:bottom w:val="single" w:sz="4" w:space="0" w:color="auto"/>
              <w:right w:val="single" w:sz="4" w:space="0" w:color="auto"/>
            </w:tcBorders>
            <w:vAlign w:val="center"/>
          </w:tcPr>
          <w:p w14:paraId="09C1AA9D"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74.63</w:t>
            </w:r>
          </w:p>
        </w:tc>
        <w:tc>
          <w:tcPr>
            <w:tcW w:w="1004" w:type="dxa"/>
            <w:tcBorders>
              <w:top w:val="nil"/>
              <w:left w:val="nil"/>
              <w:bottom w:val="single" w:sz="4" w:space="0" w:color="auto"/>
              <w:right w:val="single" w:sz="4" w:space="0" w:color="auto"/>
            </w:tcBorders>
            <w:vAlign w:val="center"/>
          </w:tcPr>
          <w:p w14:paraId="65BB007B"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003" w:type="dxa"/>
            <w:tcBorders>
              <w:top w:val="nil"/>
              <w:left w:val="nil"/>
              <w:bottom w:val="single" w:sz="4" w:space="0" w:color="auto"/>
              <w:right w:val="single" w:sz="4" w:space="0" w:color="auto"/>
            </w:tcBorders>
            <w:vAlign w:val="center"/>
          </w:tcPr>
          <w:p w14:paraId="520E586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8" w:type="dxa"/>
            <w:tcBorders>
              <w:top w:val="nil"/>
              <w:left w:val="nil"/>
              <w:bottom w:val="single" w:sz="4" w:space="0" w:color="auto"/>
              <w:right w:val="single" w:sz="4" w:space="0" w:color="auto"/>
            </w:tcBorders>
            <w:vAlign w:val="center"/>
          </w:tcPr>
          <w:p w14:paraId="0B6272F0"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C54024" w14:paraId="3F0D37FB" w14:textId="77777777">
        <w:trPr>
          <w:cantSplit/>
          <w:trHeight w:val="394"/>
        </w:trPr>
        <w:tc>
          <w:tcPr>
            <w:tcW w:w="1004" w:type="dxa"/>
            <w:vMerge/>
            <w:tcBorders>
              <w:top w:val="nil"/>
              <w:left w:val="single" w:sz="4" w:space="0" w:color="auto"/>
              <w:bottom w:val="single" w:sz="4" w:space="0" w:color="auto"/>
              <w:right w:val="single" w:sz="4" w:space="0" w:color="auto"/>
            </w:tcBorders>
            <w:vAlign w:val="center"/>
          </w:tcPr>
          <w:p w14:paraId="62C1C134" w14:textId="77777777" w:rsidR="00C54024" w:rsidRDefault="00C54024">
            <w:pPr>
              <w:spacing w:after="0" w:line="240" w:lineRule="auto"/>
              <w:rPr>
                <w:rFonts w:ascii="宋体" w:eastAsia="宋体" w:hAnsi="宋体" w:cs="Times New Roman" w:hint="eastAsia"/>
                <w:b/>
                <w:bCs/>
                <w:sz w:val="18"/>
                <w:szCs w:val="18"/>
                <w:lang w:eastAsia="zh-CN"/>
              </w:rPr>
            </w:pPr>
          </w:p>
        </w:tc>
        <w:tc>
          <w:tcPr>
            <w:tcW w:w="1433" w:type="dxa"/>
            <w:tcBorders>
              <w:top w:val="nil"/>
              <w:left w:val="nil"/>
              <w:bottom w:val="single" w:sz="4" w:space="0" w:color="auto"/>
              <w:right w:val="single" w:sz="4" w:space="0" w:color="auto"/>
            </w:tcBorders>
            <w:vAlign w:val="center"/>
          </w:tcPr>
          <w:p w14:paraId="3E1DC853"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34" w:type="dxa"/>
            <w:tcBorders>
              <w:top w:val="nil"/>
              <w:left w:val="nil"/>
              <w:bottom w:val="single" w:sz="4" w:space="0" w:color="auto"/>
              <w:right w:val="single" w:sz="4" w:space="0" w:color="auto"/>
            </w:tcBorders>
            <w:vAlign w:val="center"/>
          </w:tcPr>
          <w:p w14:paraId="179AE93A"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1,775.81</w:t>
            </w:r>
          </w:p>
        </w:tc>
        <w:tc>
          <w:tcPr>
            <w:tcW w:w="1290" w:type="dxa"/>
            <w:tcBorders>
              <w:top w:val="nil"/>
              <w:left w:val="nil"/>
              <w:bottom w:val="single" w:sz="4" w:space="0" w:color="auto"/>
              <w:right w:val="single" w:sz="4" w:space="0" w:color="auto"/>
            </w:tcBorders>
            <w:vAlign w:val="center"/>
          </w:tcPr>
          <w:p w14:paraId="2CF21E14"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1,652.19</w:t>
            </w:r>
          </w:p>
        </w:tc>
        <w:tc>
          <w:tcPr>
            <w:tcW w:w="1862" w:type="dxa"/>
            <w:tcBorders>
              <w:top w:val="nil"/>
              <w:left w:val="nil"/>
              <w:bottom w:val="single" w:sz="4" w:space="0" w:color="auto"/>
              <w:right w:val="single" w:sz="4" w:space="0" w:color="auto"/>
            </w:tcBorders>
            <w:vAlign w:val="center"/>
          </w:tcPr>
          <w:p w14:paraId="5F78AE1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1,652.19</w:t>
            </w:r>
          </w:p>
        </w:tc>
        <w:tc>
          <w:tcPr>
            <w:tcW w:w="1004" w:type="dxa"/>
            <w:tcBorders>
              <w:top w:val="nil"/>
              <w:left w:val="nil"/>
              <w:bottom w:val="single" w:sz="4" w:space="0" w:color="auto"/>
              <w:right w:val="single" w:sz="4" w:space="0" w:color="auto"/>
            </w:tcBorders>
            <w:vAlign w:val="center"/>
          </w:tcPr>
          <w:p w14:paraId="33BBBDD7"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003" w:type="dxa"/>
            <w:tcBorders>
              <w:top w:val="nil"/>
              <w:left w:val="nil"/>
              <w:bottom w:val="single" w:sz="4" w:space="0" w:color="auto"/>
              <w:right w:val="single" w:sz="4" w:space="0" w:color="auto"/>
            </w:tcBorders>
            <w:vAlign w:val="center"/>
          </w:tcPr>
          <w:p w14:paraId="446EA2E4"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8" w:type="dxa"/>
            <w:tcBorders>
              <w:top w:val="nil"/>
              <w:left w:val="nil"/>
              <w:bottom w:val="single" w:sz="4" w:space="0" w:color="auto"/>
              <w:right w:val="single" w:sz="4" w:space="0" w:color="auto"/>
            </w:tcBorders>
            <w:vAlign w:val="center"/>
          </w:tcPr>
          <w:p w14:paraId="636BF119"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C54024" w14:paraId="7542B809" w14:textId="77777777">
        <w:trPr>
          <w:cantSplit/>
          <w:trHeight w:val="324"/>
        </w:trPr>
        <w:tc>
          <w:tcPr>
            <w:tcW w:w="1004" w:type="dxa"/>
            <w:vMerge w:val="restart"/>
            <w:tcBorders>
              <w:top w:val="nil"/>
              <w:left w:val="single" w:sz="4" w:space="0" w:color="auto"/>
              <w:bottom w:val="single" w:sz="4" w:space="0" w:color="auto"/>
              <w:right w:val="single" w:sz="4" w:space="0" w:color="auto"/>
            </w:tcBorders>
            <w:vAlign w:val="center"/>
          </w:tcPr>
          <w:p w14:paraId="7929613C"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157" w:type="dxa"/>
            <w:gridSpan w:val="3"/>
            <w:tcBorders>
              <w:top w:val="single" w:sz="4" w:space="0" w:color="auto"/>
              <w:left w:val="nil"/>
              <w:bottom w:val="single" w:sz="4" w:space="0" w:color="auto"/>
              <w:right w:val="single" w:sz="4" w:space="0" w:color="auto"/>
            </w:tcBorders>
            <w:noWrap/>
            <w:vAlign w:val="center"/>
          </w:tcPr>
          <w:p w14:paraId="43843ED2"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98" w:type="dxa"/>
            <w:gridSpan w:val="4"/>
            <w:tcBorders>
              <w:top w:val="single" w:sz="4" w:space="0" w:color="auto"/>
              <w:left w:val="nil"/>
              <w:bottom w:val="single" w:sz="4" w:space="0" w:color="auto"/>
              <w:right w:val="single" w:sz="4" w:space="0" w:color="auto"/>
            </w:tcBorders>
            <w:noWrap/>
            <w:vAlign w:val="center"/>
          </w:tcPr>
          <w:p w14:paraId="436ADA3A"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C54024" w14:paraId="5EE202D3" w14:textId="77777777">
        <w:trPr>
          <w:cantSplit/>
          <w:trHeight w:val="670"/>
        </w:trPr>
        <w:tc>
          <w:tcPr>
            <w:tcW w:w="1004" w:type="dxa"/>
            <w:vMerge/>
            <w:tcBorders>
              <w:top w:val="nil"/>
              <w:left w:val="single" w:sz="4" w:space="0" w:color="auto"/>
              <w:bottom w:val="single" w:sz="4" w:space="0" w:color="auto"/>
              <w:right w:val="single" w:sz="4" w:space="0" w:color="auto"/>
            </w:tcBorders>
            <w:vAlign w:val="center"/>
          </w:tcPr>
          <w:p w14:paraId="1B9B30BA" w14:textId="77777777" w:rsidR="00C54024" w:rsidRDefault="00C54024">
            <w:pPr>
              <w:spacing w:after="0" w:line="240" w:lineRule="auto"/>
              <w:rPr>
                <w:rFonts w:ascii="宋体" w:eastAsia="宋体" w:hAnsi="宋体" w:cs="Times New Roman" w:hint="eastAsia"/>
                <w:b/>
                <w:bCs/>
                <w:sz w:val="18"/>
                <w:szCs w:val="18"/>
                <w:lang w:eastAsia="zh-CN"/>
              </w:rPr>
            </w:pPr>
          </w:p>
        </w:tc>
        <w:tc>
          <w:tcPr>
            <w:tcW w:w="4157" w:type="dxa"/>
            <w:gridSpan w:val="3"/>
            <w:tcBorders>
              <w:top w:val="single" w:sz="4" w:space="0" w:color="auto"/>
              <w:left w:val="nil"/>
              <w:bottom w:val="single" w:sz="4" w:space="0" w:color="auto"/>
              <w:right w:val="single" w:sz="4" w:space="0" w:color="auto"/>
            </w:tcBorders>
          </w:tcPr>
          <w:p w14:paraId="2BA90200"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宣传贯彻执行党和国家的教育方针、政策、法律法规等，坚持依法执教、依法治学，贯彻执行县教育局的行政规章制度；目标2：资助学生人数285人，助学金发放及时率100%，有效减轻贫困家庭经济困难学生的经济负担，满足家庭经济困难学生基本生活需要，各项国家资助政策按规定得到落实，教育公平显著提升。目标3：组织开展本校的教育科学科研和教育教学改革，全力推进教育实施；为提高教育教学水平，教师参加各类培训数量≥5次，教师培训合格率达100%，每学期参加教学质量分析会4次，各类考试完成及时率100%，控辍保学率=0%。目标4：按照义务教育课程计划，开齐课程，开足课时，认真实施小学的教育教学管理，全面推进素质教育，全面提高教育教学质量；保障学校工作正常有序开展.目标5：保障学校各项工作圆满完成。</w:t>
            </w:r>
          </w:p>
        </w:tc>
        <w:tc>
          <w:tcPr>
            <w:tcW w:w="4598" w:type="dxa"/>
            <w:gridSpan w:val="4"/>
            <w:tcBorders>
              <w:top w:val="single" w:sz="4" w:space="0" w:color="auto"/>
              <w:left w:val="nil"/>
              <w:bottom w:val="single" w:sz="4" w:space="0" w:color="auto"/>
              <w:right w:val="single" w:sz="4" w:space="0" w:color="auto"/>
            </w:tcBorders>
          </w:tcPr>
          <w:p w14:paraId="0DBE76D8"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截止2024年12月31日，我单位已完成如下工作：教师参加各类培训数量5次，教师培训合格率达100%，每学期参加教学质量分析会4次，各类考试完成及时率100%，控辍保学率=0%。按照义务教育课程计划，开齐课程，开足课时，认真实施小学的教育教学管理，全面推进素质教育，全面提高教育教学质量；保障学校工作正常有序开展.保障学校各项工作圆满完成。</w:t>
            </w:r>
          </w:p>
        </w:tc>
      </w:tr>
      <w:tr w:rsidR="00C54024" w14:paraId="0A71DF8A" w14:textId="77777777">
        <w:trPr>
          <w:cantSplit/>
          <w:trHeight w:val="680"/>
        </w:trPr>
        <w:tc>
          <w:tcPr>
            <w:tcW w:w="1004" w:type="dxa"/>
            <w:tcBorders>
              <w:top w:val="single" w:sz="4" w:space="0" w:color="auto"/>
              <w:left w:val="single" w:sz="4" w:space="0" w:color="auto"/>
              <w:bottom w:val="single" w:sz="4" w:space="0" w:color="auto"/>
              <w:right w:val="single" w:sz="4" w:space="0" w:color="auto"/>
            </w:tcBorders>
            <w:vAlign w:val="center"/>
          </w:tcPr>
          <w:p w14:paraId="1F934800"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33" w:type="dxa"/>
            <w:tcBorders>
              <w:top w:val="nil"/>
              <w:left w:val="nil"/>
              <w:bottom w:val="single" w:sz="4" w:space="0" w:color="auto"/>
              <w:right w:val="single" w:sz="4" w:space="0" w:color="auto"/>
            </w:tcBorders>
            <w:vAlign w:val="center"/>
          </w:tcPr>
          <w:p w14:paraId="703DD853"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34" w:type="dxa"/>
            <w:tcBorders>
              <w:top w:val="nil"/>
              <w:left w:val="nil"/>
              <w:bottom w:val="single" w:sz="4" w:space="0" w:color="auto"/>
              <w:right w:val="single" w:sz="4" w:space="0" w:color="auto"/>
            </w:tcBorders>
            <w:vAlign w:val="center"/>
          </w:tcPr>
          <w:p w14:paraId="0FA0EE6D"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90" w:type="dxa"/>
            <w:tcBorders>
              <w:top w:val="nil"/>
              <w:left w:val="nil"/>
              <w:bottom w:val="single" w:sz="4" w:space="0" w:color="auto"/>
              <w:right w:val="single" w:sz="4" w:space="0" w:color="auto"/>
            </w:tcBorders>
            <w:vAlign w:val="center"/>
          </w:tcPr>
          <w:p w14:paraId="2BE79242"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862" w:type="dxa"/>
            <w:tcBorders>
              <w:top w:val="nil"/>
              <w:left w:val="nil"/>
              <w:bottom w:val="single" w:sz="4" w:space="0" w:color="auto"/>
              <w:right w:val="single" w:sz="4" w:space="0" w:color="auto"/>
            </w:tcBorders>
            <w:vAlign w:val="center"/>
          </w:tcPr>
          <w:p w14:paraId="6DE2AC77"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004" w:type="dxa"/>
            <w:tcBorders>
              <w:top w:val="nil"/>
              <w:left w:val="nil"/>
              <w:bottom w:val="single" w:sz="4" w:space="0" w:color="auto"/>
              <w:right w:val="single" w:sz="4" w:space="0" w:color="auto"/>
            </w:tcBorders>
            <w:vAlign w:val="center"/>
          </w:tcPr>
          <w:p w14:paraId="2BFF3DCE"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003" w:type="dxa"/>
            <w:tcBorders>
              <w:top w:val="nil"/>
              <w:left w:val="nil"/>
              <w:bottom w:val="single" w:sz="4" w:space="0" w:color="auto"/>
              <w:right w:val="single" w:sz="4" w:space="0" w:color="auto"/>
            </w:tcBorders>
            <w:vAlign w:val="center"/>
          </w:tcPr>
          <w:p w14:paraId="79F2C2F3"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8" w:type="dxa"/>
            <w:tcBorders>
              <w:top w:val="nil"/>
              <w:left w:val="nil"/>
              <w:bottom w:val="single" w:sz="4" w:space="0" w:color="auto"/>
              <w:right w:val="single" w:sz="4" w:space="0" w:color="auto"/>
            </w:tcBorders>
            <w:vAlign w:val="center"/>
          </w:tcPr>
          <w:p w14:paraId="712DF08A" w14:textId="77777777" w:rsidR="00C54024"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C54024" w14:paraId="3152F25A" w14:textId="77777777">
        <w:trPr>
          <w:cantSplit/>
          <w:trHeight w:val="703"/>
        </w:trPr>
        <w:tc>
          <w:tcPr>
            <w:tcW w:w="1004" w:type="dxa"/>
            <w:vMerge w:val="restart"/>
            <w:tcBorders>
              <w:top w:val="nil"/>
              <w:left w:val="single" w:sz="4" w:space="0" w:color="auto"/>
              <w:bottom w:val="nil"/>
              <w:right w:val="single" w:sz="4" w:space="0" w:color="auto"/>
            </w:tcBorders>
            <w:noWrap/>
            <w:vAlign w:val="center"/>
          </w:tcPr>
          <w:p w14:paraId="4D9958EB"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管理效率</w:t>
            </w:r>
          </w:p>
        </w:tc>
        <w:tc>
          <w:tcPr>
            <w:tcW w:w="1433" w:type="dxa"/>
            <w:vMerge w:val="restart"/>
            <w:tcBorders>
              <w:top w:val="nil"/>
              <w:left w:val="nil"/>
              <w:bottom w:val="nil"/>
              <w:right w:val="single" w:sz="4" w:space="0" w:color="auto"/>
            </w:tcBorders>
            <w:noWrap/>
            <w:vAlign w:val="center"/>
          </w:tcPr>
          <w:p w14:paraId="0EF51A86"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34" w:type="dxa"/>
            <w:tcBorders>
              <w:top w:val="nil"/>
              <w:left w:val="nil"/>
              <w:bottom w:val="single" w:sz="4" w:space="0" w:color="auto"/>
              <w:right w:val="single" w:sz="4" w:space="0" w:color="auto"/>
            </w:tcBorders>
            <w:noWrap/>
            <w:vAlign w:val="center"/>
          </w:tcPr>
          <w:p w14:paraId="6C07306A"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资助学生人数</w:t>
            </w:r>
          </w:p>
        </w:tc>
        <w:tc>
          <w:tcPr>
            <w:tcW w:w="1290" w:type="dxa"/>
            <w:tcBorders>
              <w:top w:val="nil"/>
              <w:left w:val="nil"/>
              <w:bottom w:val="single" w:sz="4" w:space="0" w:color="auto"/>
              <w:right w:val="single" w:sz="4" w:space="0" w:color="auto"/>
            </w:tcBorders>
            <w:noWrap/>
            <w:vAlign w:val="center"/>
          </w:tcPr>
          <w:p w14:paraId="6AD93303"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=285人</w:t>
            </w:r>
          </w:p>
        </w:tc>
        <w:tc>
          <w:tcPr>
            <w:tcW w:w="1862" w:type="dxa"/>
            <w:tcBorders>
              <w:top w:val="nil"/>
              <w:left w:val="nil"/>
              <w:bottom w:val="single" w:sz="4" w:space="0" w:color="auto"/>
              <w:right w:val="single" w:sz="4" w:space="0" w:color="auto"/>
            </w:tcBorders>
            <w:noWrap/>
            <w:vAlign w:val="center"/>
          </w:tcPr>
          <w:p w14:paraId="2986F87F"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木垒哈萨克自治县新户镇中心学校2024年工作计划</w:t>
            </w:r>
          </w:p>
        </w:tc>
        <w:tc>
          <w:tcPr>
            <w:tcW w:w="1004" w:type="dxa"/>
            <w:tcBorders>
              <w:top w:val="nil"/>
              <w:left w:val="nil"/>
              <w:bottom w:val="single" w:sz="4" w:space="0" w:color="auto"/>
              <w:right w:val="single" w:sz="4" w:space="0" w:color="auto"/>
            </w:tcBorders>
            <w:noWrap/>
            <w:vAlign w:val="center"/>
          </w:tcPr>
          <w:p w14:paraId="39F7E419"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003" w:type="dxa"/>
            <w:tcBorders>
              <w:top w:val="nil"/>
              <w:left w:val="nil"/>
              <w:bottom w:val="single" w:sz="4" w:space="0" w:color="auto"/>
              <w:right w:val="single" w:sz="4" w:space="0" w:color="auto"/>
            </w:tcBorders>
            <w:noWrap/>
            <w:vAlign w:val="center"/>
          </w:tcPr>
          <w:p w14:paraId="75F66341"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=285人</w:t>
            </w:r>
          </w:p>
        </w:tc>
        <w:tc>
          <w:tcPr>
            <w:tcW w:w="728" w:type="dxa"/>
            <w:tcBorders>
              <w:top w:val="nil"/>
              <w:left w:val="nil"/>
              <w:bottom w:val="single" w:sz="4" w:space="0" w:color="auto"/>
              <w:right w:val="single" w:sz="4" w:space="0" w:color="auto"/>
            </w:tcBorders>
            <w:noWrap/>
            <w:vAlign w:val="center"/>
          </w:tcPr>
          <w:p w14:paraId="084A9C1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C54024" w14:paraId="0BACE803" w14:textId="77777777">
        <w:trPr>
          <w:cantSplit/>
          <w:trHeight w:val="703"/>
        </w:trPr>
        <w:tc>
          <w:tcPr>
            <w:tcW w:w="1004" w:type="dxa"/>
            <w:vMerge/>
            <w:tcBorders>
              <w:top w:val="nil"/>
              <w:left w:val="single" w:sz="4" w:space="0" w:color="auto"/>
              <w:bottom w:val="nil"/>
              <w:right w:val="single" w:sz="4" w:space="0" w:color="auto"/>
            </w:tcBorders>
            <w:vAlign w:val="center"/>
          </w:tcPr>
          <w:p w14:paraId="562831EC" w14:textId="77777777" w:rsidR="00C54024" w:rsidRDefault="00C54024">
            <w:pPr>
              <w:spacing w:after="0" w:line="240" w:lineRule="auto"/>
              <w:rPr>
                <w:rFonts w:ascii="宋体" w:eastAsia="宋体" w:hAnsi="宋体" w:cs="Times New Roman" w:hint="eastAsia"/>
                <w:sz w:val="18"/>
                <w:szCs w:val="18"/>
                <w:lang w:eastAsia="zh-CN"/>
              </w:rPr>
            </w:pPr>
          </w:p>
        </w:tc>
        <w:tc>
          <w:tcPr>
            <w:tcW w:w="1433" w:type="dxa"/>
            <w:vMerge/>
            <w:tcBorders>
              <w:top w:val="nil"/>
              <w:left w:val="nil"/>
              <w:bottom w:val="nil"/>
              <w:right w:val="single" w:sz="4" w:space="0" w:color="auto"/>
            </w:tcBorders>
            <w:vAlign w:val="center"/>
          </w:tcPr>
          <w:p w14:paraId="5F1012A9" w14:textId="77777777" w:rsidR="00C54024" w:rsidRDefault="00C54024">
            <w:pPr>
              <w:spacing w:after="0" w:line="240" w:lineRule="auto"/>
              <w:rPr>
                <w:rFonts w:ascii="宋体" w:eastAsia="宋体" w:hAnsi="宋体" w:cs="Times New Roman" w:hint="eastAsia"/>
                <w:sz w:val="18"/>
                <w:szCs w:val="18"/>
                <w:lang w:eastAsia="zh-CN"/>
              </w:rPr>
            </w:pPr>
          </w:p>
        </w:tc>
        <w:tc>
          <w:tcPr>
            <w:tcW w:w="1434" w:type="dxa"/>
            <w:tcBorders>
              <w:top w:val="nil"/>
              <w:left w:val="nil"/>
              <w:bottom w:val="single" w:sz="4" w:space="0" w:color="auto"/>
              <w:right w:val="single" w:sz="4" w:space="0" w:color="auto"/>
            </w:tcBorders>
            <w:noWrap/>
            <w:vAlign w:val="center"/>
          </w:tcPr>
          <w:p w14:paraId="06A8B4C4"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开展教师培训数量</w:t>
            </w:r>
          </w:p>
        </w:tc>
        <w:tc>
          <w:tcPr>
            <w:tcW w:w="1290" w:type="dxa"/>
            <w:tcBorders>
              <w:top w:val="nil"/>
              <w:left w:val="nil"/>
              <w:bottom w:val="single" w:sz="4" w:space="0" w:color="auto"/>
              <w:right w:val="single" w:sz="4" w:space="0" w:color="auto"/>
            </w:tcBorders>
            <w:noWrap/>
            <w:vAlign w:val="center"/>
          </w:tcPr>
          <w:p w14:paraId="112B6EBD"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=5次</w:t>
            </w:r>
          </w:p>
        </w:tc>
        <w:tc>
          <w:tcPr>
            <w:tcW w:w="1862" w:type="dxa"/>
            <w:tcBorders>
              <w:top w:val="nil"/>
              <w:left w:val="nil"/>
              <w:bottom w:val="single" w:sz="4" w:space="0" w:color="auto"/>
              <w:right w:val="single" w:sz="4" w:space="0" w:color="auto"/>
            </w:tcBorders>
            <w:noWrap/>
            <w:vAlign w:val="center"/>
          </w:tcPr>
          <w:p w14:paraId="4A441097"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木垒哈萨克自治县新户镇中心学校2024年工作计划</w:t>
            </w:r>
          </w:p>
        </w:tc>
        <w:tc>
          <w:tcPr>
            <w:tcW w:w="1004" w:type="dxa"/>
            <w:tcBorders>
              <w:top w:val="nil"/>
              <w:left w:val="nil"/>
              <w:bottom w:val="single" w:sz="4" w:space="0" w:color="auto"/>
              <w:right w:val="single" w:sz="4" w:space="0" w:color="auto"/>
            </w:tcBorders>
            <w:noWrap/>
            <w:vAlign w:val="center"/>
          </w:tcPr>
          <w:p w14:paraId="303D5915"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003" w:type="dxa"/>
            <w:tcBorders>
              <w:top w:val="nil"/>
              <w:left w:val="nil"/>
              <w:bottom w:val="single" w:sz="4" w:space="0" w:color="auto"/>
              <w:right w:val="single" w:sz="4" w:space="0" w:color="auto"/>
            </w:tcBorders>
            <w:noWrap/>
            <w:vAlign w:val="center"/>
          </w:tcPr>
          <w:p w14:paraId="3C8F4782"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=5次</w:t>
            </w:r>
          </w:p>
        </w:tc>
        <w:tc>
          <w:tcPr>
            <w:tcW w:w="728" w:type="dxa"/>
            <w:tcBorders>
              <w:top w:val="nil"/>
              <w:left w:val="nil"/>
              <w:bottom w:val="single" w:sz="4" w:space="0" w:color="auto"/>
              <w:right w:val="single" w:sz="4" w:space="0" w:color="auto"/>
            </w:tcBorders>
            <w:noWrap/>
            <w:vAlign w:val="center"/>
          </w:tcPr>
          <w:p w14:paraId="5FB707A3"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C54024" w14:paraId="0A867917" w14:textId="77777777">
        <w:trPr>
          <w:cantSplit/>
          <w:trHeight w:val="703"/>
        </w:trPr>
        <w:tc>
          <w:tcPr>
            <w:tcW w:w="1004" w:type="dxa"/>
            <w:vMerge/>
            <w:tcBorders>
              <w:top w:val="nil"/>
              <w:left w:val="single" w:sz="4" w:space="0" w:color="auto"/>
              <w:bottom w:val="nil"/>
              <w:right w:val="single" w:sz="4" w:space="0" w:color="auto"/>
            </w:tcBorders>
            <w:vAlign w:val="center"/>
          </w:tcPr>
          <w:p w14:paraId="034D6EDF" w14:textId="77777777" w:rsidR="00C54024" w:rsidRDefault="00C54024">
            <w:pPr>
              <w:spacing w:after="0" w:line="240" w:lineRule="auto"/>
              <w:rPr>
                <w:rFonts w:ascii="宋体" w:eastAsia="宋体" w:hAnsi="宋体" w:cs="Times New Roman" w:hint="eastAsia"/>
                <w:sz w:val="18"/>
                <w:szCs w:val="18"/>
                <w:lang w:eastAsia="zh-CN"/>
              </w:rPr>
            </w:pPr>
          </w:p>
        </w:tc>
        <w:tc>
          <w:tcPr>
            <w:tcW w:w="1433" w:type="dxa"/>
            <w:vMerge/>
            <w:tcBorders>
              <w:top w:val="nil"/>
              <w:left w:val="nil"/>
              <w:bottom w:val="nil"/>
              <w:right w:val="single" w:sz="4" w:space="0" w:color="auto"/>
            </w:tcBorders>
            <w:vAlign w:val="center"/>
          </w:tcPr>
          <w:p w14:paraId="4CA301D4" w14:textId="77777777" w:rsidR="00C54024" w:rsidRDefault="00C54024">
            <w:pPr>
              <w:spacing w:after="0" w:line="240" w:lineRule="auto"/>
              <w:rPr>
                <w:rFonts w:ascii="宋体" w:eastAsia="宋体" w:hAnsi="宋体" w:cs="Times New Roman" w:hint="eastAsia"/>
                <w:sz w:val="18"/>
                <w:szCs w:val="18"/>
                <w:lang w:eastAsia="zh-CN"/>
              </w:rPr>
            </w:pPr>
          </w:p>
        </w:tc>
        <w:tc>
          <w:tcPr>
            <w:tcW w:w="1434" w:type="dxa"/>
            <w:tcBorders>
              <w:top w:val="nil"/>
              <w:left w:val="nil"/>
              <w:bottom w:val="single" w:sz="4" w:space="0" w:color="auto"/>
              <w:right w:val="single" w:sz="4" w:space="0" w:color="auto"/>
            </w:tcBorders>
            <w:noWrap/>
            <w:vAlign w:val="center"/>
          </w:tcPr>
          <w:p w14:paraId="248A114A"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组织教学质量分析会</w:t>
            </w:r>
          </w:p>
        </w:tc>
        <w:tc>
          <w:tcPr>
            <w:tcW w:w="1290" w:type="dxa"/>
            <w:tcBorders>
              <w:top w:val="nil"/>
              <w:left w:val="nil"/>
              <w:bottom w:val="single" w:sz="4" w:space="0" w:color="auto"/>
              <w:right w:val="single" w:sz="4" w:space="0" w:color="auto"/>
            </w:tcBorders>
            <w:noWrap/>
            <w:vAlign w:val="center"/>
          </w:tcPr>
          <w:p w14:paraId="5FC6043F"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1862" w:type="dxa"/>
            <w:tcBorders>
              <w:top w:val="nil"/>
              <w:left w:val="nil"/>
              <w:bottom w:val="single" w:sz="4" w:space="0" w:color="auto"/>
              <w:right w:val="single" w:sz="4" w:space="0" w:color="auto"/>
            </w:tcBorders>
            <w:noWrap/>
            <w:vAlign w:val="center"/>
          </w:tcPr>
          <w:p w14:paraId="4A9DBFD9"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木垒哈萨克自治县新户镇中心学校2024年工作计划</w:t>
            </w:r>
          </w:p>
        </w:tc>
        <w:tc>
          <w:tcPr>
            <w:tcW w:w="1004" w:type="dxa"/>
            <w:tcBorders>
              <w:top w:val="nil"/>
              <w:left w:val="nil"/>
              <w:bottom w:val="single" w:sz="4" w:space="0" w:color="auto"/>
              <w:right w:val="single" w:sz="4" w:space="0" w:color="auto"/>
            </w:tcBorders>
            <w:noWrap/>
            <w:vAlign w:val="center"/>
          </w:tcPr>
          <w:p w14:paraId="20D5D54E"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003" w:type="dxa"/>
            <w:tcBorders>
              <w:top w:val="nil"/>
              <w:left w:val="nil"/>
              <w:bottom w:val="single" w:sz="4" w:space="0" w:color="auto"/>
              <w:right w:val="single" w:sz="4" w:space="0" w:color="auto"/>
            </w:tcBorders>
            <w:noWrap/>
            <w:vAlign w:val="center"/>
          </w:tcPr>
          <w:p w14:paraId="4664D346"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728" w:type="dxa"/>
            <w:tcBorders>
              <w:top w:val="nil"/>
              <w:left w:val="nil"/>
              <w:bottom w:val="single" w:sz="4" w:space="0" w:color="auto"/>
              <w:right w:val="single" w:sz="4" w:space="0" w:color="auto"/>
            </w:tcBorders>
            <w:noWrap/>
            <w:vAlign w:val="center"/>
          </w:tcPr>
          <w:p w14:paraId="2509F847"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C54024" w14:paraId="160443A6" w14:textId="77777777">
        <w:trPr>
          <w:cantSplit/>
          <w:trHeight w:val="703"/>
        </w:trPr>
        <w:tc>
          <w:tcPr>
            <w:tcW w:w="1004" w:type="dxa"/>
            <w:vMerge w:val="restart"/>
            <w:tcBorders>
              <w:top w:val="nil"/>
              <w:left w:val="single" w:sz="4" w:space="0" w:color="auto"/>
              <w:bottom w:val="nil"/>
              <w:right w:val="single" w:sz="4" w:space="0" w:color="auto"/>
            </w:tcBorders>
            <w:noWrap/>
            <w:vAlign w:val="center"/>
          </w:tcPr>
          <w:p w14:paraId="63E00ACB"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33" w:type="dxa"/>
            <w:vMerge/>
            <w:tcBorders>
              <w:top w:val="nil"/>
              <w:left w:val="nil"/>
              <w:bottom w:val="nil"/>
              <w:right w:val="single" w:sz="4" w:space="0" w:color="auto"/>
            </w:tcBorders>
            <w:vAlign w:val="center"/>
          </w:tcPr>
          <w:p w14:paraId="250B0ABA" w14:textId="77777777" w:rsidR="00C54024" w:rsidRDefault="00C54024">
            <w:pPr>
              <w:spacing w:after="0" w:line="240" w:lineRule="auto"/>
              <w:rPr>
                <w:rFonts w:ascii="宋体" w:eastAsia="宋体" w:hAnsi="宋体" w:cs="Times New Roman" w:hint="eastAsia"/>
                <w:sz w:val="18"/>
                <w:szCs w:val="18"/>
                <w:lang w:eastAsia="zh-CN"/>
              </w:rPr>
            </w:pPr>
          </w:p>
        </w:tc>
        <w:tc>
          <w:tcPr>
            <w:tcW w:w="1434" w:type="dxa"/>
            <w:tcBorders>
              <w:top w:val="nil"/>
              <w:left w:val="nil"/>
              <w:bottom w:val="single" w:sz="4" w:space="0" w:color="auto"/>
              <w:right w:val="single" w:sz="4" w:space="0" w:color="auto"/>
            </w:tcBorders>
            <w:noWrap/>
            <w:vAlign w:val="center"/>
          </w:tcPr>
          <w:p w14:paraId="33A75A83"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各类培训及学习次数</w:t>
            </w:r>
          </w:p>
        </w:tc>
        <w:tc>
          <w:tcPr>
            <w:tcW w:w="1290" w:type="dxa"/>
            <w:tcBorders>
              <w:top w:val="nil"/>
              <w:left w:val="nil"/>
              <w:bottom w:val="single" w:sz="4" w:space="0" w:color="auto"/>
              <w:right w:val="single" w:sz="4" w:space="0" w:color="auto"/>
            </w:tcBorders>
            <w:noWrap/>
            <w:vAlign w:val="center"/>
          </w:tcPr>
          <w:p w14:paraId="36481E5F"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=20次</w:t>
            </w:r>
          </w:p>
        </w:tc>
        <w:tc>
          <w:tcPr>
            <w:tcW w:w="1862" w:type="dxa"/>
            <w:tcBorders>
              <w:top w:val="nil"/>
              <w:left w:val="nil"/>
              <w:bottom w:val="single" w:sz="4" w:space="0" w:color="auto"/>
              <w:right w:val="single" w:sz="4" w:space="0" w:color="auto"/>
            </w:tcBorders>
            <w:noWrap/>
            <w:vAlign w:val="center"/>
          </w:tcPr>
          <w:p w14:paraId="07C1E0A2"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木垒哈萨克自治县新户镇中心学校2024年工作计划</w:t>
            </w:r>
          </w:p>
        </w:tc>
        <w:tc>
          <w:tcPr>
            <w:tcW w:w="1004" w:type="dxa"/>
            <w:tcBorders>
              <w:top w:val="nil"/>
              <w:left w:val="nil"/>
              <w:bottom w:val="single" w:sz="4" w:space="0" w:color="auto"/>
              <w:right w:val="single" w:sz="4" w:space="0" w:color="auto"/>
            </w:tcBorders>
            <w:noWrap/>
            <w:vAlign w:val="center"/>
          </w:tcPr>
          <w:p w14:paraId="33D34A3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003" w:type="dxa"/>
            <w:tcBorders>
              <w:top w:val="nil"/>
              <w:left w:val="nil"/>
              <w:bottom w:val="single" w:sz="4" w:space="0" w:color="auto"/>
              <w:right w:val="single" w:sz="4" w:space="0" w:color="auto"/>
            </w:tcBorders>
            <w:noWrap/>
            <w:vAlign w:val="center"/>
          </w:tcPr>
          <w:p w14:paraId="4BD315FE"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=20次</w:t>
            </w:r>
          </w:p>
        </w:tc>
        <w:tc>
          <w:tcPr>
            <w:tcW w:w="728" w:type="dxa"/>
            <w:tcBorders>
              <w:top w:val="nil"/>
              <w:left w:val="nil"/>
              <w:bottom w:val="single" w:sz="4" w:space="0" w:color="auto"/>
              <w:right w:val="single" w:sz="4" w:space="0" w:color="auto"/>
            </w:tcBorders>
            <w:noWrap/>
            <w:vAlign w:val="center"/>
          </w:tcPr>
          <w:p w14:paraId="7BFF8E55"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C54024" w14:paraId="02616698" w14:textId="77777777">
        <w:trPr>
          <w:cantSplit/>
          <w:trHeight w:val="703"/>
        </w:trPr>
        <w:tc>
          <w:tcPr>
            <w:tcW w:w="1004" w:type="dxa"/>
            <w:vMerge/>
            <w:tcBorders>
              <w:top w:val="nil"/>
              <w:left w:val="single" w:sz="4" w:space="0" w:color="auto"/>
              <w:bottom w:val="nil"/>
              <w:right w:val="single" w:sz="4" w:space="0" w:color="auto"/>
            </w:tcBorders>
            <w:vAlign w:val="center"/>
          </w:tcPr>
          <w:p w14:paraId="3CA3F904" w14:textId="77777777" w:rsidR="00C54024" w:rsidRDefault="00C54024">
            <w:pPr>
              <w:spacing w:after="0" w:line="240" w:lineRule="auto"/>
              <w:rPr>
                <w:rFonts w:ascii="宋体" w:eastAsia="宋体" w:hAnsi="宋体" w:cs="Times New Roman" w:hint="eastAsia"/>
                <w:sz w:val="18"/>
                <w:szCs w:val="18"/>
                <w:lang w:eastAsia="zh-CN"/>
              </w:rPr>
            </w:pPr>
          </w:p>
        </w:tc>
        <w:tc>
          <w:tcPr>
            <w:tcW w:w="1433" w:type="dxa"/>
            <w:vMerge/>
            <w:tcBorders>
              <w:top w:val="nil"/>
              <w:left w:val="nil"/>
              <w:bottom w:val="nil"/>
              <w:right w:val="single" w:sz="4" w:space="0" w:color="auto"/>
            </w:tcBorders>
            <w:vAlign w:val="center"/>
          </w:tcPr>
          <w:p w14:paraId="7994F3C1" w14:textId="77777777" w:rsidR="00C54024" w:rsidRDefault="00C54024">
            <w:pPr>
              <w:spacing w:after="0" w:line="240" w:lineRule="auto"/>
              <w:rPr>
                <w:rFonts w:ascii="宋体" w:eastAsia="宋体" w:hAnsi="宋体" w:cs="Times New Roman" w:hint="eastAsia"/>
                <w:sz w:val="18"/>
                <w:szCs w:val="18"/>
                <w:lang w:eastAsia="zh-CN"/>
              </w:rPr>
            </w:pPr>
          </w:p>
        </w:tc>
        <w:tc>
          <w:tcPr>
            <w:tcW w:w="1434" w:type="dxa"/>
            <w:tcBorders>
              <w:top w:val="nil"/>
              <w:left w:val="nil"/>
              <w:bottom w:val="single" w:sz="4" w:space="0" w:color="auto"/>
              <w:right w:val="single" w:sz="4" w:space="0" w:color="auto"/>
            </w:tcBorders>
            <w:noWrap/>
            <w:vAlign w:val="center"/>
          </w:tcPr>
          <w:p w14:paraId="62582321"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控辍保学率</w:t>
            </w:r>
          </w:p>
        </w:tc>
        <w:tc>
          <w:tcPr>
            <w:tcW w:w="1290" w:type="dxa"/>
            <w:tcBorders>
              <w:top w:val="nil"/>
              <w:left w:val="nil"/>
              <w:bottom w:val="single" w:sz="4" w:space="0" w:color="auto"/>
              <w:right w:val="single" w:sz="4" w:space="0" w:color="auto"/>
            </w:tcBorders>
            <w:noWrap/>
            <w:vAlign w:val="center"/>
          </w:tcPr>
          <w:p w14:paraId="6A48981B"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w:t>
            </w:r>
          </w:p>
        </w:tc>
        <w:tc>
          <w:tcPr>
            <w:tcW w:w="1862" w:type="dxa"/>
            <w:tcBorders>
              <w:top w:val="nil"/>
              <w:left w:val="nil"/>
              <w:bottom w:val="single" w:sz="4" w:space="0" w:color="auto"/>
              <w:right w:val="single" w:sz="4" w:space="0" w:color="auto"/>
            </w:tcBorders>
            <w:noWrap/>
            <w:vAlign w:val="center"/>
          </w:tcPr>
          <w:p w14:paraId="7E002BF5"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木垒哈萨克自治县新户镇中心学校2024年工作计划</w:t>
            </w:r>
          </w:p>
        </w:tc>
        <w:tc>
          <w:tcPr>
            <w:tcW w:w="1004" w:type="dxa"/>
            <w:tcBorders>
              <w:top w:val="nil"/>
              <w:left w:val="nil"/>
              <w:bottom w:val="single" w:sz="4" w:space="0" w:color="auto"/>
              <w:right w:val="single" w:sz="4" w:space="0" w:color="auto"/>
            </w:tcBorders>
            <w:noWrap/>
            <w:vAlign w:val="center"/>
          </w:tcPr>
          <w:p w14:paraId="67A34246"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003" w:type="dxa"/>
            <w:tcBorders>
              <w:top w:val="nil"/>
              <w:left w:val="nil"/>
              <w:bottom w:val="single" w:sz="4" w:space="0" w:color="auto"/>
              <w:right w:val="single" w:sz="4" w:space="0" w:color="auto"/>
            </w:tcBorders>
            <w:noWrap/>
            <w:vAlign w:val="center"/>
          </w:tcPr>
          <w:p w14:paraId="7D326366"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w:t>
            </w:r>
          </w:p>
        </w:tc>
        <w:tc>
          <w:tcPr>
            <w:tcW w:w="728" w:type="dxa"/>
            <w:tcBorders>
              <w:top w:val="nil"/>
              <w:left w:val="nil"/>
              <w:bottom w:val="single" w:sz="4" w:space="0" w:color="auto"/>
              <w:right w:val="single" w:sz="4" w:space="0" w:color="auto"/>
            </w:tcBorders>
            <w:noWrap/>
            <w:vAlign w:val="center"/>
          </w:tcPr>
          <w:p w14:paraId="111C3672"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C54024" w14:paraId="1F45DE43" w14:textId="77777777">
        <w:trPr>
          <w:cantSplit/>
          <w:trHeight w:val="703"/>
        </w:trPr>
        <w:tc>
          <w:tcPr>
            <w:tcW w:w="1004" w:type="dxa"/>
            <w:vMerge/>
            <w:tcBorders>
              <w:top w:val="nil"/>
              <w:left w:val="single" w:sz="4" w:space="0" w:color="auto"/>
              <w:bottom w:val="nil"/>
              <w:right w:val="single" w:sz="4" w:space="0" w:color="auto"/>
            </w:tcBorders>
            <w:vAlign w:val="center"/>
          </w:tcPr>
          <w:p w14:paraId="6DA98B04" w14:textId="77777777" w:rsidR="00C54024" w:rsidRDefault="00C54024">
            <w:pPr>
              <w:spacing w:after="0" w:line="240" w:lineRule="auto"/>
              <w:rPr>
                <w:rFonts w:ascii="宋体" w:eastAsia="宋体" w:hAnsi="宋体" w:cs="Times New Roman" w:hint="eastAsia"/>
                <w:sz w:val="18"/>
                <w:szCs w:val="18"/>
                <w:lang w:eastAsia="zh-CN"/>
              </w:rPr>
            </w:pPr>
          </w:p>
        </w:tc>
        <w:tc>
          <w:tcPr>
            <w:tcW w:w="1433" w:type="dxa"/>
            <w:vMerge/>
            <w:tcBorders>
              <w:top w:val="nil"/>
              <w:left w:val="nil"/>
              <w:bottom w:val="nil"/>
              <w:right w:val="single" w:sz="4" w:space="0" w:color="auto"/>
            </w:tcBorders>
            <w:vAlign w:val="center"/>
          </w:tcPr>
          <w:p w14:paraId="1C470255" w14:textId="77777777" w:rsidR="00C54024" w:rsidRDefault="00C54024">
            <w:pPr>
              <w:spacing w:after="0" w:line="240" w:lineRule="auto"/>
              <w:rPr>
                <w:rFonts w:ascii="宋体" w:eastAsia="宋体" w:hAnsi="宋体" w:cs="Times New Roman" w:hint="eastAsia"/>
                <w:sz w:val="18"/>
                <w:szCs w:val="18"/>
                <w:lang w:eastAsia="zh-CN"/>
              </w:rPr>
            </w:pPr>
          </w:p>
        </w:tc>
        <w:tc>
          <w:tcPr>
            <w:tcW w:w="1434" w:type="dxa"/>
            <w:tcBorders>
              <w:top w:val="nil"/>
              <w:left w:val="nil"/>
              <w:bottom w:val="single" w:sz="4" w:space="0" w:color="auto"/>
              <w:right w:val="single" w:sz="4" w:space="0" w:color="auto"/>
            </w:tcBorders>
            <w:noWrap/>
            <w:vAlign w:val="center"/>
          </w:tcPr>
          <w:p w14:paraId="6B31343E"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义务教育学生入学率</w:t>
            </w:r>
          </w:p>
        </w:tc>
        <w:tc>
          <w:tcPr>
            <w:tcW w:w="1290" w:type="dxa"/>
            <w:tcBorders>
              <w:top w:val="nil"/>
              <w:left w:val="nil"/>
              <w:bottom w:val="single" w:sz="4" w:space="0" w:color="auto"/>
              <w:right w:val="single" w:sz="4" w:space="0" w:color="auto"/>
            </w:tcBorders>
            <w:noWrap/>
            <w:vAlign w:val="center"/>
          </w:tcPr>
          <w:p w14:paraId="59AE25A8"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1862" w:type="dxa"/>
            <w:tcBorders>
              <w:top w:val="nil"/>
              <w:left w:val="nil"/>
              <w:bottom w:val="single" w:sz="4" w:space="0" w:color="auto"/>
              <w:right w:val="single" w:sz="4" w:space="0" w:color="auto"/>
            </w:tcBorders>
            <w:noWrap/>
            <w:vAlign w:val="center"/>
          </w:tcPr>
          <w:p w14:paraId="08E7970B" w14:textId="77777777" w:rsidR="00C54024"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木垒哈萨克自治县新户镇中心学校2024年工作计划</w:t>
            </w:r>
          </w:p>
        </w:tc>
        <w:tc>
          <w:tcPr>
            <w:tcW w:w="1004" w:type="dxa"/>
            <w:tcBorders>
              <w:top w:val="nil"/>
              <w:left w:val="nil"/>
              <w:bottom w:val="single" w:sz="4" w:space="0" w:color="auto"/>
              <w:right w:val="single" w:sz="4" w:space="0" w:color="auto"/>
            </w:tcBorders>
            <w:noWrap/>
            <w:vAlign w:val="center"/>
          </w:tcPr>
          <w:p w14:paraId="379A41E3"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003" w:type="dxa"/>
            <w:tcBorders>
              <w:top w:val="nil"/>
              <w:left w:val="nil"/>
              <w:bottom w:val="single" w:sz="4" w:space="0" w:color="auto"/>
              <w:right w:val="single" w:sz="4" w:space="0" w:color="auto"/>
            </w:tcBorders>
            <w:noWrap/>
            <w:vAlign w:val="center"/>
          </w:tcPr>
          <w:p w14:paraId="33DE607B"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8" w:type="dxa"/>
            <w:tcBorders>
              <w:top w:val="nil"/>
              <w:left w:val="nil"/>
              <w:bottom w:val="single" w:sz="4" w:space="0" w:color="auto"/>
              <w:right w:val="single" w:sz="4" w:space="0" w:color="auto"/>
            </w:tcBorders>
            <w:noWrap/>
            <w:vAlign w:val="center"/>
          </w:tcPr>
          <w:p w14:paraId="75281F4E" w14:textId="77777777" w:rsidR="00C54024"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bl>
    <w:p w14:paraId="566C6B9B" w14:textId="77777777" w:rsidR="00C54024" w:rsidRDefault="00C54024">
      <w:pPr>
        <w:widowControl w:val="0"/>
        <w:spacing w:after="0" w:line="240" w:lineRule="auto"/>
        <w:rPr>
          <w:rFonts w:ascii="宋体" w:eastAsia="宋体" w:hAnsi="宋体" w:cs="Times New Roman" w:hint="eastAsia"/>
          <w:b/>
          <w:bCs/>
          <w:sz w:val="18"/>
          <w:szCs w:val="18"/>
          <w:lang w:eastAsia="zh-CN"/>
        </w:rPr>
      </w:pPr>
    </w:p>
    <w:p w14:paraId="18690D27" w14:textId="77777777" w:rsidR="00C540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112A3D9B" w14:textId="77777777" w:rsidR="00C540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C8A0BC6" w14:textId="77777777" w:rsidR="00C54024" w:rsidRDefault="00C54024">
      <w:pPr>
        <w:spacing w:after="0" w:line="240" w:lineRule="auto"/>
        <w:ind w:firstLineChars="200" w:firstLine="640"/>
        <w:rPr>
          <w:rFonts w:ascii="仿宋_GB2312" w:eastAsia="仿宋_GB2312" w:hint="eastAsia"/>
          <w:sz w:val="32"/>
          <w:szCs w:val="32"/>
          <w:lang w:eastAsia="zh-CN"/>
        </w:rPr>
      </w:pPr>
    </w:p>
    <w:p w14:paraId="76F261B3" w14:textId="77777777" w:rsidR="00C54024" w:rsidRDefault="00000000">
      <w:pPr>
        <w:rPr>
          <w:rFonts w:hint="eastAsia"/>
          <w:lang w:eastAsia="zh-CN"/>
        </w:rPr>
      </w:pPr>
      <w:r>
        <w:rPr>
          <w:sz w:val="0"/>
          <w:szCs w:val="0"/>
          <w:lang w:eastAsia="zh-CN"/>
        </w:rPr>
        <w:br w:type="page"/>
      </w:r>
    </w:p>
    <w:p w14:paraId="4B9B07C3" w14:textId="77777777" w:rsidR="00C540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585A7DF"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85DC4B"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16111A0"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3EDDB94"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70D75F0"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A724DDD"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E21F16C"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737A9C9"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79268F"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BC9320A"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091674C"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534BB41"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30094FE"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6088BA" w14:textId="77777777" w:rsidR="00C540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A6A00BE" w14:textId="77777777" w:rsidR="00C54024" w:rsidRDefault="00000000">
      <w:pPr>
        <w:rPr>
          <w:rFonts w:hint="eastAsia"/>
          <w:lang w:eastAsia="zh-CN"/>
        </w:rPr>
      </w:pPr>
      <w:r>
        <w:rPr>
          <w:sz w:val="0"/>
          <w:szCs w:val="0"/>
          <w:lang w:eastAsia="zh-CN"/>
        </w:rPr>
        <w:br w:type="page"/>
      </w:r>
    </w:p>
    <w:p w14:paraId="5FAB4333" w14:textId="77777777" w:rsidR="00C540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83DF4FC"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BEC5240"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41C078B"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25A0C01"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38B5829"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3C1CF8B"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D43FF9C"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4B1BDAA"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1C6133A" w14:textId="77777777" w:rsidR="00C540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5402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7E09" w14:textId="77777777" w:rsidR="007F0AD0" w:rsidRDefault="007F0AD0">
      <w:pPr>
        <w:spacing w:line="240" w:lineRule="auto"/>
        <w:rPr>
          <w:rFonts w:hint="eastAsia"/>
        </w:rPr>
      </w:pPr>
      <w:r>
        <w:separator/>
      </w:r>
    </w:p>
  </w:endnote>
  <w:endnote w:type="continuationSeparator" w:id="0">
    <w:p w14:paraId="6830BD20" w14:textId="77777777" w:rsidR="007F0AD0" w:rsidRDefault="007F0AD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C8941" w14:textId="77777777" w:rsidR="007F0AD0" w:rsidRDefault="007F0AD0">
      <w:pPr>
        <w:spacing w:after="0"/>
        <w:rPr>
          <w:rFonts w:hint="eastAsia"/>
        </w:rPr>
      </w:pPr>
      <w:r>
        <w:separator/>
      </w:r>
    </w:p>
  </w:footnote>
  <w:footnote w:type="continuationSeparator" w:id="0">
    <w:p w14:paraId="5E36902E" w14:textId="77777777" w:rsidR="007F0AD0" w:rsidRDefault="007F0AD0">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66756"/>
    <w:rsid w:val="0020093D"/>
    <w:rsid w:val="00266756"/>
    <w:rsid w:val="003D3E3E"/>
    <w:rsid w:val="003E5994"/>
    <w:rsid w:val="004056E5"/>
    <w:rsid w:val="004443D3"/>
    <w:rsid w:val="004C18F8"/>
    <w:rsid w:val="004F07B2"/>
    <w:rsid w:val="006154B2"/>
    <w:rsid w:val="00742386"/>
    <w:rsid w:val="007536DD"/>
    <w:rsid w:val="007F0AD0"/>
    <w:rsid w:val="0088772F"/>
    <w:rsid w:val="009C793F"/>
    <w:rsid w:val="009D72F9"/>
    <w:rsid w:val="00A36299"/>
    <w:rsid w:val="00B32CC5"/>
    <w:rsid w:val="00B83EDF"/>
    <w:rsid w:val="00BD48E2"/>
    <w:rsid w:val="00C54024"/>
    <w:rsid w:val="00D01C5A"/>
    <w:rsid w:val="00D26302"/>
    <w:rsid w:val="00DE2997"/>
    <w:rsid w:val="00E31117"/>
    <w:rsid w:val="00EC519E"/>
    <w:rsid w:val="00EE67CF"/>
    <w:rsid w:val="00F1461F"/>
    <w:rsid w:val="383832E8"/>
    <w:rsid w:val="46AB11C4"/>
    <w:rsid w:val="516C5A92"/>
    <w:rsid w:val="51824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8E3DC"/>
  <w15:docId w15:val="{33121AA6-30F4-491A-B8A9-E3D32D37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563C1"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323E4F" w:themeColor="text2" w:themeShade="BF"/>
      <w:spacing w:val="5"/>
      <w:kern w:val="28"/>
      <w:sz w:val="52"/>
      <w:szCs w:val="52"/>
    </w:rPr>
  </w:style>
  <w:style w:type="paragraph" w:styleId="ae">
    <w:name w:val="footer"/>
    <w:basedOn w:val="a"/>
    <w:link w:val="af"/>
    <w:uiPriority w:val="99"/>
    <w:unhideWhenUsed/>
    <w:rsid w:val="009C793F"/>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9C793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3979</Words>
  <Characters>4417</Characters>
  <Application>Microsoft Office Word</Application>
  <DocSecurity>0</DocSecurity>
  <Lines>259</Lines>
  <Paragraphs>220</Paragraphs>
  <ScaleCrop>false</ScaleCrop>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16</cp:revision>
  <dcterms:created xsi:type="dcterms:W3CDTF">2025-09-23T08:23:00Z</dcterms:created>
  <dcterms:modified xsi:type="dcterms:W3CDTF">2025-11-18T03:26:00Z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4A3129900F564BE28B2461C0B14F47CA_12</vt:lpwstr>
  </property>
</Properties>
</file>